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CB265" w14:textId="77777777" w:rsidR="003B44DE" w:rsidRPr="003B44DE" w:rsidRDefault="003B44DE" w:rsidP="003B44DE">
      <w:pPr>
        <w:spacing w:after="0" w:line="240" w:lineRule="auto"/>
        <w:rPr>
          <w:rFonts w:ascii="Calibri" w:eastAsia="Times New Roman" w:hAnsi="Calibri" w:cs="Calibri"/>
        </w:rPr>
      </w:pPr>
      <w:r w:rsidRPr="003B44DE">
        <w:rPr>
          <w:rFonts w:ascii="Calibri" w:eastAsia="Times New Roman" w:hAnsi="Calibri" w:cs="Calibri"/>
          <w:b/>
          <w:bCs/>
        </w:rPr>
        <w:t>Funding Opportunity Title:</w:t>
      </w:r>
      <w:r w:rsidRPr="003B44DE">
        <w:rPr>
          <w:rFonts w:ascii="Calibri" w:eastAsia="Times New Roman" w:hAnsi="Calibri" w:cs="Calibri"/>
        </w:rPr>
        <w:t xml:space="preserve"> Low-Cost Chip-Scale Atomic Clock (LC CSAC)</w:t>
      </w:r>
    </w:p>
    <w:p w14:paraId="2D94918D" w14:textId="548E2D6B" w:rsidR="003B44DE" w:rsidRDefault="003B44DE" w:rsidP="003B44DE">
      <w:pPr>
        <w:spacing w:after="0" w:line="240" w:lineRule="auto"/>
        <w:rPr>
          <w:rFonts w:ascii="Calibri" w:eastAsia="Times New Roman" w:hAnsi="Calibri" w:cs="Calibri"/>
        </w:rPr>
      </w:pPr>
      <w:r w:rsidRPr="003B44DE">
        <w:rPr>
          <w:rFonts w:ascii="Calibri" w:eastAsia="Times New Roman" w:hAnsi="Calibri" w:cs="Calibri"/>
          <w:b/>
          <w:bCs/>
        </w:rPr>
        <w:t>Funding Instrument Type:</w:t>
      </w:r>
      <w:r w:rsidRPr="003B44DE">
        <w:rPr>
          <w:rFonts w:ascii="Calibri" w:eastAsia="Times New Roman" w:hAnsi="Calibri" w:cs="Calibri"/>
        </w:rPr>
        <w:t xml:space="preserve"> Technology investment agreement </w:t>
      </w:r>
    </w:p>
    <w:p w14:paraId="2448738C" w14:textId="31569F2A" w:rsidR="00B85F6F" w:rsidRPr="00B85F6F" w:rsidRDefault="00B85F6F" w:rsidP="003B44DE">
      <w:pPr>
        <w:spacing w:after="0" w:line="240" w:lineRule="auto"/>
        <w:rPr>
          <w:rFonts w:ascii="Calibri" w:eastAsia="Times New Roman" w:hAnsi="Calibri" w:cs="Calibri"/>
          <w:b/>
        </w:rPr>
      </w:pPr>
      <w:r>
        <w:rPr>
          <w:rFonts w:ascii="Calibri" w:eastAsia="Times New Roman" w:hAnsi="Calibri" w:cs="Calibri"/>
          <w:b/>
        </w:rPr>
        <w:t xml:space="preserve">Funding Opportunity Number in Grants.gov: </w:t>
      </w:r>
      <w:r w:rsidR="003D0B0F">
        <w:t>W911NF-</w:t>
      </w:r>
      <w:bookmarkStart w:id="0" w:name="_GoBack"/>
      <w:bookmarkEnd w:id="0"/>
      <w:r w:rsidR="003D0B0F">
        <w:t>17-S-0003-SPECIAL</w:t>
      </w:r>
      <w:r>
        <w:t>NOTICE-LC-CSAC</w:t>
      </w:r>
    </w:p>
    <w:p w14:paraId="37A0A54A" w14:textId="77777777" w:rsidR="003B44DE" w:rsidRPr="003B44DE" w:rsidRDefault="003B44DE" w:rsidP="003B44DE">
      <w:pPr>
        <w:spacing w:after="0" w:line="240" w:lineRule="auto"/>
        <w:rPr>
          <w:rFonts w:ascii="Calibri" w:eastAsia="Times New Roman" w:hAnsi="Calibri" w:cs="Calibri"/>
        </w:rPr>
      </w:pPr>
      <w:r w:rsidRPr="003B44DE">
        <w:rPr>
          <w:rFonts w:ascii="Calibri" w:eastAsia="Times New Roman" w:hAnsi="Calibri" w:cs="Calibri"/>
        </w:rPr>
        <w:t> </w:t>
      </w:r>
    </w:p>
    <w:p w14:paraId="28F1E445" w14:textId="77777777" w:rsidR="003B44DE" w:rsidRPr="003B44DE" w:rsidRDefault="003B44DE" w:rsidP="003B44DE">
      <w:pPr>
        <w:spacing w:after="0" w:line="240" w:lineRule="auto"/>
        <w:rPr>
          <w:rFonts w:ascii="Calibri" w:eastAsia="Times New Roman" w:hAnsi="Calibri" w:cs="Calibri"/>
        </w:rPr>
      </w:pPr>
      <w:r w:rsidRPr="003B44DE">
        <w:rPr>
          <w:rFonts w:ascii="Calibri" w:eastAsia="Times New Roman" w:hAnsi="Calibri" w:cs="Calibri"/>
          <w:b/>
          <w:bCs/>
        </w:rPr>
        <w:t xml:space="preserve">Description: </w:t>
      </w:r>
    </w:p>
    <w:p w14:paraId="62CF037B" w14:textId="24E8756E"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xml:space="preserve">The aim of this Special Notice under the ARL BAA </w:t>
      </w:r>
      <w:r w:rsidR="00697DBD">
        <w:rPr>
          <w:rFonts w:ascii="Calibri" w:eastAsia="Times New Roman" w:hAnsi="Calibri" w:cs="Calibri"/>
        </w:rPr>
        <w:t>(W911NF-17-S-0003)</w:t>
      </w:r>
      <w:r w:rsidR="001E7D00">
        <w:rPr>
          <w:rFonts w:ascii="Calibri" w:eastAsia="Times New Roman" w:hAnsi="Calibri" w:cs="Calibri"/>
        </w:rPr>
        <w:t xml:space="preserve">, under Grants.gov Opportunity </w:t>
      </w:r>
      <w:r w:rsidR="003D0B0F">
        <w:t>W911NF-17-S-0003-SPECIAL</w:t>
      </w:r>
      <w:r w:rsidR="001E7D00">
        <w:t>NOTICE-LC-CSAC,</w:t>
      </w:r>
      <w:r w:rsidR="00697DBD">
        <w:rPr>
          <w:rFonts w:ascii="Calibri" w:eastAsia="Times New Roman" w:hAnsi="Calibri" w:cs="Calibri"/>
        </w:rPr>
        <w:t xml:space="preserve"> </w:t>
      </w:r>
      <w:r w:rsidRPr="003B44DE">
        <w:rPr>
          <w:rFonts w:ascii="Calibri" w:eastAsia="Times New Roman" w:hAnsi="Calibri" w:cs="Calibri"/>
        </w:rPr>
        <w:t>is to fund a team or multiple teams to design, manufacture, and deliver a battery-powered atomic clock that achieves identical (or better) size, weight, and power (</w:t>
      </w:r>
      <w:proofErr w:type="spellStart"/>
      <w:r w:rsidRPr="003B44DE">
        <w:rPr>
          <w:rFonts w:ascii="Calibri" w:eastAsia="Times New Roman" w:hAnsi="Calibri" w:cs="Calibri"/>
        </w:rPr>
        <w:t>SWaP</w:t>
      </w:r>
      <w:proofErr w:type="spellEnd"/>
      <w:r w:rsidRPr="003B44DE">
        <w:rPr>
          <w:rFonts w:ascii="Calibri" w:eastAsia="Times New Roman" w:hAnsi="Calibri" w:cs="Calibri"/>
        </w:rPr>
        <w:t xml:space="preserve">) and performance to the commercially available chip-scale atomic clock (CSAC) with a selling price goal of &lt; $300/unit in high volume. </w:t>
      </w:r>
    </w:p>
    <w:p w14:paraId="3AC56C69"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42DCD31C"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xml:space="preserve">Precise timing is critical for numerous Army applications such as navigation, communications, surveillance, and synchronization of sensors and systems. Assured PNT solutions currently rely on acquiring GPS signals, which may not be readily available in increasingly contested environments. Commercially available silicon MEMS and quartz oscillators (TCXO, OCXO) are unable to provide GPS holdover in the event of a GPS outage, except for high-end OCXOs that may be considered large and power hungry for certain applications. To ease reliance on GPS, long-holdover clocks with </w:t>
      </w:r>
      <w:proofErr w:type="spellStart"/>
      <w:r w:rsidRPr="003B44DE">
        <w:rPr>
          <w:rFonts w:ascii="Calibri" w:eastAsia="Times New Roman" w:hAnsi="Calibri" w:cs="Calibri"/>
        </w:rPr>
        <w:t>SWaP</w:t>
      </w:r>
      <w:proofErr w:type="spellEnd"/>
      <w:r w:rsidRPr="003B44DE">
        <w:rPr>
          <w:rFonts w:ascii="Calibri" w:eastAsia="Times New Roman" w:hAnsi="Calibri" w:cs="Calibri"/>
        </w:rPr>
        <w:t xml:space="preserve">-C appropriate for various </w:t>
      </w:r>
      <w:proofErr w:type="gramStart"/>
      <w:r w:rsidRPr="003B44DE">
        <w:rPr>
          <w:rFonts w:ascii="Calibri" w:eastAsia="Times New Roman" w:hAnsi="Calibri" w:cs="Calibri"/>
        </w:rPr>
        <w:t>DoD</w:t>
      </w:r>
      <w:proofErr w:type="gramEnd"/>
      <w:r w:rsidRPr="003B44DE">
        <w:rPr>
          <w:rFonts w:ascii="Calibri" w:eastAsia="Times New Roman" w:hAnsi="Calibri" w:cs="Calibri"/>
        </w:rPr>
        <w:t xml:space="preserve"> platforms are necessary to enable mission-critical functions even in contested environments. Current high-performance atomic clocks (maser, laser-cooled cesium fountain) serve as standards and are large, expensive, and require regular monitoring and exquisite environmental control. </w:t>
      </w:r>
    </w:p>
    <w:p w14:paraId="2C9BA048"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6960AC17" w14:textId="5E639980"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Since the early 2000s, the chip-scale atomic clock (CSAC) has been developed and successfully matured into a commercial product with DARPA and industry investment. While an Army/Air Force/OSD Manufacturing Technology effort further reduced the manufacturing cost</w:t>
      </w:r>
      <w:r w:rsidR="001A52D4" w:rsidRPr="00B07851">
        <w:rPr>
          <w:rFonts w:ascii="Calibri" w:eastAsia="Times New Roman" w:hAnsi="Calibri" w:cs="Calibri"/>
          <w:vertAlign w:val="superscript"/>
        </w:rPr>
        <w:t>1</w:t>
      </w:r>
      <w:r w:rsidRPr="003B44DE">
        <w:rPr>
          <w:rFonts w:ascii="Calibri" w:eastAsia="Times New Roman" w:hAnsi="Calibri" w:cs="Calibri"/>
        </w:rPr>
        <w:t>, the current selling price is still prohibitive for high-volume, low-</w:t>
      </w:r>
      <w:proofErr w:type="spellStart"/>
      <w:r w:rsidRPr="003B44DE">
        <w:rPr>
          <w:rFonts w:ascii="Calibri" w:eastAsia="Times New Roman" w:hAnsi="Calibri" w:cs="Calibri"/>
        </w:rPr>
        <w:t>SWaP</w:t>
      </w:r>
      <w:proofErr w:type="spellEnd"/>
      <w:r w:rsidRPr="003B44DE">
        <w:rPr>
          <w:rFonts w:ascii="Calibri" w:eastAsia="Times New Roman" w:hAnsi="Calibri" w:cs="Calibri"/>
        </w:rPr>
        <w:t xml:space="preserve"> </w:t>
      </w:r>
      <w:proofErr w:type="gramStart"/>
      <w:r w:rsidRPr="003B44DE">
        <w:rPr>
          <w:rFonts w:ascii="Calibri" w:eastAsia="Times New Roman" w:hAnsi="Calibri" w:cs="Calibri"/>
        </w:rPr>
        <w:t>DoD</w:t>
      </w:r>
      <w:proofErr w:type="gramEnd"/>
      <w:r w:rsidRPr="003B44DE">
        <w:rPr>
          <w:rFonts w:ascii="Calibri" w:eastAsia="Times New Roman" w:hAnsi="Calibri" w:cs="Calibri"/>
        </w:rPr>
        <w:t xml:space="preserve"> platforms. There is an opportunity to leverage the many advances in MEMS, photonics, and atomic physics over the past two decades to develop state-of-the-art, high-performance, battery-powered atomic clocks with improved manufacturability, significantly reduced cost, and improved performance.</w:t>
      </w:r>
    </w:p>
    <w:p w14:paraId="3CB6E890"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5004BFF7" w14:textId="6ECFC24D" w:rsidR="003B44DE" w:rsidRPr="003B44DE" w:rsidRDefault="000E7399" w:rsidP="003B44DE">
      <w:pPr>
        <w:spacing w:after="0" w:line="240" w:lineRule="auto"/>
        <w:jc w:val="both"/>
        <w:rPr>
          <w:rFonts w:ascii="Calibri" w:eastAsia="Times New Roman" w:hAnsi="Calibri" w:cs="Calibri"/>
        </w:rPr>
      </w:pPr>
      <w:r>
        <w:rPr>
          <w:rFonts w:ascii="Calibri" w:eastAsia="Times New Roman" w:hAnsi="Calibri" w:cs="Calibri"/>
        </w:rPr>
        <w:t xml:space="preserve">This special notice seeks proposals from </w:t>
      </w:r>
      <w:r w:rsidR="00D21E43">
        <w:rPr>
          <w:rFonts w:ascii="Calibri" w:eastAsia="Times New Roman" w:hAnsi="Calibri" w:cs="Calibri"/>
        </w:rPr>
        <w:t>one or more for-profit firms in accordance with 32 CFR 37.210.  A consortium, led by a for-profit firm, is also encouraged.</w:t>
      </w:r>
    </w:p>
    <w:p w14:paraId="614556E5"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3C238C2C"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b/>
          <w:bCs/>
        </w:rPr>
        <w:t>Schedule:</w:t>
      </w:r>
    </w:p>
    <w:p w14:paraId="3AC54CED" w14:textId="335E07EC"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xml:space="preserve">The program consists of three phases. The first phase is a one-year base period to develop key architectural designs and initial component developments. Phase 2 is a </w:t>
      </w:r>
      <w:r w:rsidR="00251A2F">
        <w:rPr>
          <w:rFonts w:ascii="Calibri" w:eastAsia="Times New Roman" w:hAnsi="Calibri" w:cs="Calibri"/>
        </w:rPr>
        <w:t>one</w:t>
      </w:r>
      <w:r w:rsidRPr="003B44DE">
        <w:rPr>
          <w:rFonts w:ascii="Calibri" w:eastAsia="Times New Roman" w:hAnsi="Calibri" w:cs="Calibri"/>
        </w:rPr>
        <w:t xml:space="preserve">-year option period in which the initial architectural developments will be produced and tested. Phase 3 is the final two-year option period resulting in the final deliverables achieving all metrics listed in Table 1.  If the proposed schedule deviates from the listed timeline, for example the proposed timeline is expedited, the </w:t>
      </w:r>
      <w:r w:rsidR="00693F99">
        <w:rPr>
          <w:rFonts w:ascii="Calibri" w:eastAsia="Times New Roman" w:hAnsi="Calibri" w:cs="Calibri"/>
        </w:rPr>
        <w:t>offeror</w:t>
      </w:r>
      <w:r w:rsidRPr="003B44DE">
        <w:rPr>
          <w:rFonts w:ascii="Calibri" w:eastAsia="Times New Roman" w:hAnsi="Calibri" w:cs="Calibri"/>
        </w:rPr>
        <w:t xml:space="preserve"> must appropriately justify the timeline and metrics.  </w:t>
      </w:r>
    </w:p>
    <w:p w14:paraId="754BC2CB" w14:textId="77777777" w:rsidR="00136DEE" w:rsidRDefault="00136DEE" w:rsidP="003B44DE">
      <w:pPr>
        <w:spacing w:after="0" w:line="240" w:lineRule="auto"/>
        <w:jc w:val="both"/>
        <w:rPr>
          <w:rFonts w:ascii="Calibri" w:eastAsia="Times New Roman" w:hAnsi="Calibri" w:cs="Calibri"/>
        </w:rPr>
      </w:pPr>
    </w:p>
    <w:p w14:paraId="767CCD4B" w14:textId="77777777" w:rsidR="00136DEE" w:rsidRDefault="00136DEE" w:rsidP="003B44DE">
      <w:pPr>
        <w:spacing w:after="0" w:line="240" w:lineRule="auto"/>
        <w:jc w:val="both"/>
        <w:rPr>
          <w:rFonts w:ascii="Calibri" w:eastAsia="Times New Roman" w:hAnsi="Calibri" w:cs="Calibri"/>
          <w:b/>
        </w:rPr>
      </w:pPr>
      <w:r>
        <w:rPr>
          <w:rFonts w:ascii="Calibri" w:eastAsia="Times New Roman" w:hAnsi="Calibri" w:cs="Calibri"/>
          <w:b/>
        </w:rPr>
        <w:t>Cost Sharing:</w:t>
      </w:r>
    </w:p>
    <w:p w14:paraId="490F8EDB" w14:textId="77777777" w:rsidR="00136DEE" w:rsidRPr="003B44DE" w:rsidRDefault="00136DEE" w:rsidP="00117C74">
      <w:pPr>
        <w:spacing w:after="0" w:line="240" w:lineRule="auto"/>
        <w:jc w:val="both"/>
        <w:rPr>
          <w:rFonts w:ascii="Calibri" w:eastAsia="Times New Roman" w:hAnsi="Calibri" w:cs="Calibri"/>
        </w:rPr>
      </w:pPr>
      <w:r>
        <w:t xml:space="preserve">Proposals must show a strong commitment to and self-interest in the success of the project.  The Government is required to seek cost sharing to ensure the recipient incurs real risk that gives it a vested interest in the project’s success.  To the maximum extent practicable, the non-Federal parties carrying out the research project under a TIA are to provide at least half of the costs of the project.  In the event that 50% is impracticable, the proposal should provide justification for why that is the case and also demonstrate the potential recipient’s self-interest in the success of the project.  If all other criteria are </w:t>
      </w:r>
      <w:r>
        <w:lastRenderedPageBreak/>
        <w:t>rated equally, preference will be given to proposals with a higher percentage of cost share demonstrating the offeror’s commitment to the success of the research effort.</w:t>
      </w:r>
    </w:p>
    <w:p w14:paraId="3E24EAE0" w14:textId="3962BDA1" w:rsidR="003B44DE" w:rsidRPr="003B44DE" w:rsidRDefault="003B44DE" w:rsidP="003B44DE">
      <w:pPr>
        <w:spacing w:after="0" w:line="240" w:lineRule="auto"/>
        <w:jc w:val="both"/>
        <w:rPr>
          <w:rFonts w:ascii="Calibri" w:eastAsia="Times New Roman" w:hAnsi="Calibri" w:cs="Calibri"/>
        </w:rPr>
      </w:pPr>
    </w:p>
    <w:p w14:paraId="295377DB"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b/>
          <w:bCs/>
        </w:rPr>
        <w:t>Goals and Metrics:</w:t>
      </w:r>
    </w:p>
    <w:p w14:paraId="0229D64B"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1A0EA489" w14:textId="79502B43"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xml:space="preserve">The primary goal of this solicitation is to achieve a price point and volume capacity commensurate with the </w:t>
      </w:r>
      <w:proofErr w:type="gramStart"/>
      <w:r w:rsidRPr="003B44DE">
        <w:rPr>
          <w:rFonts w:ascii="Calibri" w:eastAsia="Times New Roman" w:hAnsi="Calibri" w:cs="Calibri"/>
        </w:rPr>
        <w:t>DoD</w:t>
      </w:r>
      <w:proofErr w:type="gramEnd"/>
      <w:r w:rsidRPr="003B44DE">
        <w:rPr>
          <w:rFonts w:ascii="Calibri" w:eastAsia="Times New Roman" w:hAnsi="Calibri" w:cs="Calibri"/>
        </w:rPr>
        <w:t xml:space="preserve"> needs for integration with GPS</w:t>
      </w:r>
      <w:r w:rsidR="00B07851">
        <w:rPr>
          <w:rFonts w:ascii="Calibri" w:eastAsia="Times New Roman" w:hAnsi="Calibri" w:cs="Calibri"/>
        </w:rPr>
        <w:t xml:space="preserve"> </w:t>
      </w:r>
      <w:r w:rsidRPr="003B44DE">
        <w:rPr>
          <w:rFonts w:ascii="Calibri" w:eastAsia="Times New Roman" w:hAnsi="Calibri" w:cs="Calibri"/>
        </w:rPr>
        <w:t xml:space="preserve">receivers for signal assurance over the next decade.  Table 1 lists the high-level end-project goals in terms of threshold and objective. </w:t>
      </w:r>
    </w:p>
    <w:p w14:paraId="3ECAD278" w14:textId="77777777" w:rsidR="00F36AE6" w:rsidRDefault="003B44DE" w:rsidP="003B44DE">
      <w:pPr>
        <w:spacing w:after="0" w:line="240" w:lineRule="auto"/>
        <w:rPr>
          <w:rFonts w:ascii="Calibri" w:eastAsia="Times New Roman" w:hAnsi="Calibri" w:cs="Calibri"/>
        </w:rPr>
      </w:pPr>
      <w:r w:rsidRPr="003B44DE">
        <w:rPr>
          <w:rFonts w:ascii="Calibri" w:eastAsia="Times New Roman" w:hAnsi="Calibri" w:cs="Calibri"/>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590"/>
        <w:gridCol w:w="1987"/>
        <w:gridCol w:w="2048"/>
        <w:gridCol w:w="1668"/>
      </w:tblGrid>
      <w:tr w:rsidR="003B44DE" w:rsidRPr="003B44DE" w14:paraId="028C19B1" w14:textId="77777777" w:rsidTr="003B44DE">
        <w:tc>
          <w:tcPr>
            <w:tcW w:w="1562" w:type="dxa"/>
            <w:tcBorders>
              <w:top w:val="single" w:sz="8" w:space="0" w:color="A3A3A3"/>
              <w:left w:val="single" w:sz="8" w:space="0" w:color="A3A3A3"/>
              <w:bottom w:val="single" w:sz="8" w:space="0" w:color="A3A3A3"/>
              <w:right w:val="single" w:sz="8" w:space="0" w:color="A3A3A3"/>
            </w:tcBorders>
            <w:shd w:val="clear" w:color="auto" w:fill="000000"/>
            <w:tcMar>
              <w:top w:w="40" w:type="dxa"/>
              <w:left w:w="60" w:type="dxa"/>
              <w:bottom w:w="40" w:type="dxa"/>
              <w:right w:w="60" w:type="dxa"/>
            </w:tcMar>
            <w:hideMark/>
          </w:tcPr>
          <w:p w14:paraId="133BF4FC" w14:textId="64A6C75B" w:rsidR="003B44DE" w:rsidRPr="003B44DE" w:rsidRDefault="00F36AE6" w:rsidP="003B44DE">
            <w:pPr>
              <w:spacing w:after="0" w:line="240" w:lineRule="auto"/>
              <w:rPr>
                <w:rFonts w:ascii="Calibri" w:eastAsia="Times New Roman" w:hAnsi="Calibri" w:cs="Calibri"/>
                <w:color w:val="FFFFFF"/>
                <w:sz w:val="20"/>
                <w:szCs w:val="20"/>
              </w:rPr>
            </w:pPr>
            <w:r>
              <w:rPr>
                <w:rFonts w:ascii="Calibri" w:eastAsia="Times New Roman" w:hAnsi="Calibri" w:cs="Calibri"/>
              </w:rPr>
              <w:br w:type="page"/>
            </w:r>
            <w:r w:rsidR="003B44DE" w:rsidRPr="003B44DE">
              <w:rPr>
                <w:rFonts w:ascii="Calibri" w:eastAsia="Times New Roman" w:hAnsi="Calibri" w:cs="Calibri"/>
                <w:b/>
                <w:bCs/>
                <w:color w:val="FFFFFF"/>
                <w:sz w:val="20"/>
                <w:szCs w:val="20"/>
              </w:rPr>
              <w:t>Metric</w:t>
            </w:r>
          </w:p>
        </w:tc>
        <w:tc>
          <w:tcPr>
            <w:tcW w:w="1987" w:type="dxa"/>
            <w:tcBorders>
              <w:top w:val="single" w:sz="8" w:space="0" w:color="A3A3A3"/>
              <w:left w:val="single" w:sz="8" w:space="0" w:color="A3A3A3"/>
              <w:bottom w:val="single" w:sz="8" w:space="0" w:color="A3A3A3"/>
              <w:right w:val="single" w:sz="8" w:space="0" w:color="A3A3A3"/>
            </w:tcBorders>
            <w:shd w:val="clear" w:color="auto" w:fill="000000"/>
            <w:tcMar>
              <w:top w:w="40" w:type="dxa"/>
              <w:left w:w="60" w:type="dxa"/>
              <w:bottom w:w="40" w:type="dxa"/>
              <w:right w:w="60" w:type="dxa"/>
            </w:tcMar>
            <w:hideMark/>
          </w:tcPr>
          <w:p w14:paraId="7E32353E" w14:textId="77777777" w:rsidR="003B44DE" w:rsidRPr="003B44DE" w:rsidRDefault="003B44DE" w:rsidP="003B44DE">
            <w:pPr>
              <w:spacing w:after="0" w:line="240" w:lineRule="auto"/>
              <w:rPr>
                <w:rFonts w:ascii="Calibri" w:eastAsia="Times New Roman" w:hAnsi="Calibri" w:cs="Calibri"/>
                <w:color w:val="FFFFFF"/>
                <w:sz w:val="20"/>
                <w:szCs w:val="20"/>
              </w:rPr>
            </w:pPr>
            <w:r w:rsidRPr="003B44DE">
              <w:rPr>
                <w:rFonts w:ascii="Calibri" w:eastAsia="Times New Roman" w:hAnsi="Calibri" w:cs="Calibri"/>
                <w:b/>
                <w:bCs/>
                <w:color w:val="FFFFFF"/>
                <w:sz w:val="20"/>
                <w:szCs w:val="20"/>
              </w:rPr>
              <w:t>Threshold</w:t>
            </w:r>
          </w:p>
        </w:tc>
        <w:tc>
          <w:tcPr>
            <w:tcW w:w="2048" w:type="dxa"/>
            <w:tcBorders>
              <w:top w:val="single" w:sz="8" w:space="0" w:color="A3A3A3"/>
              <w:left w:val="single" w:sz="8" w:space="0" w:color="A3A3A3"/>
              <w:bottom w:val="single" w:sz="8" w:space="0" w:color="A3A3A3"/>
              <w:right w:val="single" w:sz="8" w:space="0" w:color="A3A3A3"/>
            </w:tcBorders>
            <w:shd w:val="clear" w:color="auto" w:fill="000000"/>
            <w:tcMar>
              <w:top w:w="40" w:type="dxa"/>
              <w:left w:w="60" w:type="dxa"/>
              <w:bottom w:w="40" w:type="dxa"/>
              <w:right w:w="60" w:type="dxa"/>
            </w:tcMar>
            <w:hideMark/>
          </w:tcPr>
          <w:p w14:paraId="67319996" w14:textId="77777777" w:rsidR="003B44DE" w:rsidRPr="003B44DE" w:rsidRDefault="003B44DE" w:rsidP="003B44DE">
            <w:pPr>
              <w:spacing w:after="0" w:line="240" w:lineRule="auto"/>
              <w:rPr>
                <w:rFonts w:ascii="Calibri" w:eastAsia="Times New Roman" w:hAnsi="Calibri" w:cs="Calibri"/>
                <w:color w:val="FFFFFF"/>
                <w:sz w:val="20"/>
                <w:szCs w:val="20"/>
              </w:rPr>
            </w:pPr>
            <w:r w:rsidRPr="003B44DE">
              <w:rPr>
                <w:rFonts w:ascii="Calibri" w:eastAsia="Times New Roman" w:hAnsi="Calibri" w:cs="Calibri"/>
                <w:b/>
                <w:bCs/>
                <w:color w:val="FFFFFF"/>
                <w:sz w:val="20"/>
                <w:szCs w:val="20"/>
              </w:rPr>
              <w:t>Objective</w:t>
            </w:r>
          </w:p>
        </w:tc>
        <w:tc>
          <w:tcPr>
            <w:tcW w:w="1662" w:type="dxa"/>
            <w:tcBorders>
              <w:top w:val="single" w:sz="8" w:space="0" w:color="A3A3A3"/>
              <w:left w:val="single" w:sz="8" w:space="0" w:color="A3A3A3"/>
              <w:bottom w:val="single" w:sz="8" w:space="0" w:color="A3A3A3"/>
              <w:right w:val="single" w:sz="8" w:space="0" w:color="A3A3A3"/>
            </w:tcBorders>
            <w:shd w:val="clear" w:color="auto" w:fill="000000"/>
            <w:tcMar>
              <w:top w:w="40" w:type="dxa"/>
              <w:left w:w="60" w:type="dxa"/>
              <w:bottom w:w="40" w:type="dxa"/>
              <w:right w:w="60" w:type="dxa"/>
            </w:tcMar>
            <w:hideMark/>
          </w:tcPr>
          <w:p w14:paraId="74DDF850" w14:textId="77777777" w:rsidR="003B44DE" w:rsidRPr="003B44DE" w:rsidRDefault="003B44DE" w:rsidP="003B44DE">
            <w:pPr>
              <w:spacing w:after="0" w:line="240" w:lineRule="auto"/>
              <w:rPr>
                <w:rFonts w:ascii="Calibri" w:eastAsia="Times New Roman" w:hAnsi="Calibri" w:cs="Calibri"/>
                <w:color w:val="FFFFFF"/>
                <w:sz w:val="20"/>
                <w:szCs w:val="20"/>
              </w:rPr>
            </w:pPr>
            <w:r w:rsidRPr="003B44DE">
              <w:rPr>
                <w:rFonts w:ascii="Calibri" w:eastAsia="Times New Roman" w:hAnsi="Calibri" w:cs="Calibri"/>
                <w:b/>
                <w:bCs/>
                <w:color w:val="FFFFFF"/>
                <w:sz w:val="20"/>
                <w:szCs w:val="20"/>
              </w:rPr>
              <w:t>Comments</w:t>
            </w:r>
          </w:p>
        </w:tc>
      </w:tr>
      <w:tr w:rsidR="003B44DE" w:rsidRPr="003B44DE" w14:paraId="4C25AB9C" w14:textId="77777777" w:rsidTr="003B44DE">
        <w:tc>
          <w:tcPr>
            <w:tcW w:w="1590"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53C23BE5"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b/>
                <w:bCs/>
                <w:sz w:val="20"/>
                <w:szCs w:val="20"/>
              </w:rPr>
              <w:t>Unit Production cost</w:t>
            </w:r>
          </w:p>
        </w:tc>
        <w:tc>
          <w:tcPr>
            <w:tcW w:w="1987"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5D809A8E"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$220</w:t>
            </w:r>
          </w:p>
        </w:tc>
        <w:tc>
          <w:tcPr>
            <w:tcW w:w="2048"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29B62CAD"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$200</w:t>
            </w:r>
          </w:p>
        </w:tc>
        <w:tc>
          <w:tcPr>
            <w:tcW w:w="1662"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4CDCC2B0"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Target $300 sell price</w:t>
            </w:r>
          </w:p>
        </w:tc>
      </w:tr>
      <w:tr w:rsidR="003B44DE" w:rsidRPr="003B44DE" w14:paraId="71010B6E" w14:textId="77777777" w:rsidTr="003B44DE">
        <w:tc>
          <w:tcPr>
            <w:tcW w:w="1562"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5C35590F"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b/>
                <w:bCs/>
                <w:sz w:val="20"/>
                <w:szCs w:val="20"/>
              </w:rPr>
              <w:t>Production capacity</w:t>
            </w:r>
          </w:p>
        </w:tc>
        <w:tc>
          <w:tcPr>
            <w:tcW w:w="1987"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05A6890B"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&gt;100k/year</w:t>
            </w:r>
          </w:p>
        </w:tc>
        <w:tc>
          <w:tcPr>
            <w:tcW w:w="2048"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60E41062"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&gt;1M/year</w:t>
            </w:r>
          </w:p>
        </w:tc>
        <w:tc>
          <w:tcPr>
            <w:tcW w:w="1502"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285571F2"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 </w:t>
            </w:r>
          </w:p>
        </w:tc>
      </w:tr>
      <w:tr w:rsidR="003B44DE" w:rsidRPr="003B44DE" w14:paraId="300B06CA" w14:textId="77777777" w:rsidTr="003B44DE">
        <w:tc>
          <w:tcPr>
            <w:tcW w:w="15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2075D8"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b/>
                <w:bCs/>
                <w:sz w:val="20"/>
                <w:szCs w:val="20"/>
              </w:rPr>
              <w:t>Size</w:t>
            </w:r>
          </w:p>
        </w:tc>
        <w:tc>
          <w:tcPr>
            <w:tcW w:w="198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55B51E" w14:textId="77777777" w:rsidR="003B44DE" w:rsidRPr="003B44DE" w:rsidRDefault="003B44DE" w:rsidP="003B44DE">
            <w:pPr>
              <w:spacing w:after="0" w:line="240" w:lineRule="auto"/>
              <w:rPr>
                <w:rFonts w:ascii="Times New Roman" w:eastAsia="Times New Roman" w:hAnsi="Times New Roman" w:cs="Times New Roman"/>
                <w:sz w:val="20"/>
                <w:szCs w:val="20"/>
              </w:rPr>
            </w:pPr>
            <w:r w:rsidRPr="003B44DE">
              <w:rPr>
                <w:rFonts w:ascii="Calibri" w:eastAsia="Times New Roman" w:hAnsi="Calibri" w:cs="Calibri"/>
                <w:sz w:val="20"/>
                <w:szCs w:val="20"/>
              </w:rPr>
              <w:t xml:space="preserve">&lt; </w:t>
            </w:r>
            <m:oMath>
              <m:r>
                <m:rPr>
                  <m:sty m:val="p"/>
                </m:rPr>
                <w:rPr>
                  <w:rFonts w:ascii="Cambria Math" w:eastAsia="Times New Roman" w:hAnsi="Cambria Math" w:cs="Times New Roman"/>
                  <w:sz w:val="20"/>
                  <w:szCs w:val="20"/>
                </w:rPr>
                <m:t>8 </m:t>
              </m:r>
              <m:r>
                <w:rPr>
                  <w:rFonts w:ascii="Cambria Math" w:eastAsia="Times New Roman" w:hAnsi="Cambria Math" w:cs="Times New Roman"/>
                  <w:sz w:val="20"/>
                  <w:szCs w:val="20"/>
                </w:rPr>
                <m:t>c</m:t>
              </m:r>
              <m:sSup>
                <m:sSupPr>
                  <m:ctrlPr>
                    <w:rPr>
                      <w:rFonts w:ascii="Cambria Math" w:eastAsia="Times New Roman" w:hAnsi="Cambria Math" w:cs="Times New Roman"/>
                      <w:sz w:val="24"/>
                      <w:szCs w:val="24"/>
                    </w:rPr>
                  </m:ctrlPr>
                </m:sSupPr>
                <m:e>
                  <m:r>
                    <w:rPr>
                      <w:rFonts w:ascii="Cambria Math" w:eastAsia="Times New Roman" w:hAnsi="Cambria Math" w:cs="Times New Roman"/>
                      <w:sz w:val="20"/>
                      <w:szCs w:val="20"/>
                    </w:rPr>
                    <m:t>m</m:t>
                  </m:r>
                </m:e>
                <m:sup>
                  <m:r>
                    <m:rPr>
                      <m:sty m:val="p"/>
                    </m:rPr>
                    <w:rPr>
                      <w:rFonts w:ascii="Cambria Math" w:eastAsia="Times New Roman" w:hAnsi="Cambria Math" w:cs="Times New Roman"/>
                      <w:sz w:val="20"/>
                      <w:szCs w:val="20"/>
                    </w:rPr>
                    <m:t>3</m:t>
                  </m:r>
                </m:sup>
              </m:sSup>
            </m:oMath>
          </w:p>
        </w:tc>
        <w:tc>
          <w:tcPr>
            <w:tcW w:w="204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11E49D" w14:textId="77777777" w:rsidR="003B44DE" w:rsidRPr="003B44DE" w:rsidRDefault="003B44DE" w:rsidP="003B44DE">
            <w:pPr>
              <w:spacing w:after="0" w:line="240" w:lineRule="auto"/>
              <w:rPr>
                <w:rFonts w:ascii="Times New Roman" w:eastAsia="Times New Roman" w:hAnsi="Times New Roman" w:cs="Times New Roman"/>
                <w:sz w:val="20"/>
                <w:szCs w:val="20"/>
              </w:rPr>
            </w:pPr>
            <w:r w:rsidRPr="003B44DE">
              <w:rPr>
                <w:rFonts w:ascii="Calibri" w:eastAsia="Times New Roman" w:hAnsi="Calibri" w:cs="Calibri"/>
                <w:sz w:val="20"/>
                <w:szCs w:val="20"/>
              </w:rPr>
              <w:t xml:space="preserve">&lt;1 </w:t>
            </w:r>
            <m:oMath>
              <m:r>
                <w:rPr>
                  <w:rFonts w:ascii="Cambria Math" w:eastAsia="Times New Roman" w:hAnsi="Cambria Math" w:cs="Times New Roman"/>
                  <w:sz w:val="20"/>
                  <w:szCs w:val="20"/>
                </w:rPr>
                <m:t>c</m:t>
              </m:r>
              <m:sSup>
                <m:sSupPr>
                  <m:ctrlPr>
                    <w:rPr>
                      <w:rFonts w:ascii="Cambria Math" w:eastAsia="Times New Roman" w:hAnsi="Cambria Math" w:cs="Times New Roman"/>
                      <w:sz w:val="24"/>
                      <w:szCs w:val="24"/>
                    </w:rPr>
                  </m:ctrlPr>
                </m:sSupPr>
                <m:e>
                  <m:r>
                    <w:rPr>
                      <w:rFonts w:ascii="Cambria Math" w:eastAsia="Times New Roman" w:hAnsi="Cambria Math" w:cs="Times New Roman"/>
                      <w:sz w:val="20"/>
                      <w:szCs w:val="20"/>
                    </w:rPr>
                    <m:t>m</m:t>
                  </m:r>
                </m:e>
                <m:sup>
                  <m:r>
                    <m:rPr>
                      <m:sty m:val="p"/>
                    </m:rPr>
                    <w:rPr>
                      <w:rFonts w:ascii="Cambria Math" w:eastAsia="Times New Roman" w:hAnsi="Cambria Math" w:cs="Times New Roman"/>
                      <w:sz w:val="20"/>
                      <w:szCs w:val="20"/>
                    </w:rPr>
                    <m:t>3</m:t>
                  </m:r>
                </m:sup>
              </m:sSup>
            </m:oMath>
          </w:p>
        </w:tc>
        <w:tc>
          <w:tcPr>
            <w:tcW w:w="150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7C3506"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 </w:t>
            </w:r>
          </w:p>
        </w:tc>
      </w:tr>
      <w:tr w:rsidR="003B44DE" w:rsidRPr="003B44DE" w14:paraId="2973B26E" w14:textId="77777777" w:rsidTr="003B44DE">
        <w:tc>
          <w:tcPr>
            <w:tcW w:w="1562"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32104488"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b/>
                <w:bCs/>
                <w:sz w:val="20"/>
                <w:szCs w:val="20"/>
              </w:rPr>
              <w:t>Power</w:t>
            </w:r>
          </w:p>
        </w:tc>
        <w:tc>
          <w:tcPr>
            <w:tcW w:w="1987"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3521E462"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 xml:space="preserve">&lt;120 </w:t>
            </w:r>
            <w:proofErr w:type="spellStart"/>
            <w:r w:rsidRPr="003B44DE">
              <w:rPr>
                <w:rFonts w:ascii="Calibri" w:eastAsia="Times New Roman" w:hAnsi="Calibri" w:cs="Calibri"/>
                <w:sz w:val="20"/>
                <w:szCs w:val="20"/>
              </w:rPr>
              <w:t>mW</w:t>
            </w:r>
            <w:proofErr w:type="spellEnd"/>
          </w:p>
        </w:tc>
        <w:tc>
          <w:tcPr>
            <w:tcW w:w="2048"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7043484F"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 xml:space="preserve">&lt;60 </w:t>
            </w:r>
            <w:proofErr w:type="spellStart"/>
            <w:r w:rsidRPr="003B44DE">
              <w:rPr>
                <w:rFonts w:ascii="Calibri" w:eastAsia="Times New Roman" w:hAnsi="Calibri" w:cs="Calibri"/>
                <w:sz w:val="20"/>
                <w:szCs w:val="20"/>
              </w:rPr>
              <w:t>mW</w:t>
            </w:r>
            <w:proofErr w:type="spellEnd"/>
          </w:p>
        </w:tc>
        <w:tc>
          <w:tcPr>
            <w:tcW w:w="1502"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6039EE31"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 </w:t>
            </w:r>
          </w:p>
        </w:tc>
      </w:tr>
      <w:tr w:rsidR="003B44DE" w:rsidRPr="003B44DE" w14:paraId="3433BD81" w14:textId="77777777" w:rsidTr="003B44DE">
        <w:tc>
          <w:tcPr>
            <w:tcW w:w="15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90FDA0"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b/>
                <w:bCs/>
                <w:sz w:val="20"/>
                <w:szCs w:val="20"/>
              </w:rPr>
              <w:t xml:space="preserve">Short-term stability </w:t>
            </w:r>
          </w:p>
        </w:tc>
        <w:tc>
          <w:tcPr>
            <w:tcW w:w="198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5ED0E6" w14:textId="77777777" w:rsidR="003B44DE" w:rsidRPr="003B44DE" w:rsidRDefault="00674B04" w:rsidP="003B44DE">
            <w:pPr>
              <w:spacing w:after="0" w:line="240" w:lineRule="auto"/>
              <w:rPr>
                <w:rFonts w:ascii="Cambria Math" w:eastAsia="Times New Roman" w:hAnsi="Cambria Math" w:cs="Times New Roman"/>
                <w:sz w:val="20"/>
                <w:szCs w:val="20"/>
                <w:lang w:val=""/>
              </w:rPr>
            </w:pPr>
            <m:oMathPara>
              <m:oMath>
                <m:sSub>
                  <m:sSubPr>
                    <m:ctrlPr>
                      <w:rPr>
                        <w:rFonts w:ascii="Cambria Math" w:eastAsia="Times New Roman" w:hAnsi="Cambria Math" w:cs="Times New Roman"/>
                        <w:sz w:val="24"/>
                        <w:szCs w:val="24"/>
                        <w:lang w:val=""/>
                      </w:rPr>
                    </m:ctrlPr>
                  </m:sSubPr>
                  <m:e>
                    <m:r>
                      <w:rPr>
                        <w:rFonts w:ascii="Cambria Math" w:eastAsia="Times New Roman" w:hAnsi="Cambria Math" w:cs="Times New Roman"/>
                        <w:sz w:val="20"/>
                        <w:szCs w:val="20"/>
                        <w:lang w:val=""/>
                      </w:rPr>
                      <m:t>σ</m:t>
                    </m:r>
                  </m:e>
                  <m:sub>
                    <m:r>
                      <w:rPr>
                        <w:rFonts w:ascii="Cambria Math" w:eastAsia="Times New Roman" w:hAnsi="Cambria Math" w:cs="Times New Roman"/>
                        <w:sz w:val="20"/>
                        <w:szCs w:val="20"/>
                        <w:lang w:val=""/>
                      </w:rPr>
                      <m:t>y</m:t>
                    </m:r>
                  </m:sub>
                </m:sSub>
                <m:r>
                  <m:rPr>
                    <m:sty m:val="p"/>
                  </m:rPr>
                  <w:rPr>
                    <w:rFonts w:ascii="Cambria Math" w:eastAsia="Times New Roman" w:hAnsi="Cambria Math" w:cs="Times New Roman"/>
                    <w:sz w:val="20"/>
                    <w:szCs w:val="20"/>
                    <w:lang w:val=""/>
                  </w:rPr>
                  <m:t>≤3×</m:t>
                </m:r>
                <m:sSup>
                  <m:sSupPr>
                    <m:ctrlPr>
                      <w:rPr>
                        <w:rFonts w:ascii="Cambria Math" w:eastAsia="Times New Roman" w:hAnsi="Cambria Math" w:cs="Times New Roman"/>
                        <w:sz w:val="24"/>
                        <w:szCs w:val="24"/>
                        <w:lang w:val=""/>
                      </w:rPr>
                    </m:ctrlPr>
                  </m:sSupPr>
                  <m:e>
                    <m:r>
                      <m:rPr>
                        <m:sty m:val="p"/>
                      </m:rPr>
                      <w:rPr>
                        <w:rFonts w:ascii="Cambria Math" w:eastAsia="Times New Roman" w:hAnsi="Cambria Math" w:cs="Times New Roman"/>
                        <w:sz w:val="20"/>
                        <w:szCs w:val="20"/>
                        <w:lang w:val=""/>
                      </w:rPr>
                      <m:t>10</m:t>
                    </m:r>
                  </m:e>
                  <m:sup>
                    <m:r>
                      <m:rPr>
                        <m:sty m:val="p"/>
                      </m:rPr>
                      <w:rPr>
                        <w:rFonts w:ascii="Cambria Math" w:eastAsia="Times New Roman" w:hAnsi="Cambria Math" w:cs="Times New Roman"/>
                        <w:sz w:val="20"/>
                        <w:szCs w:val="20"/>
                        <w:lang w:val=""/>
                      </w:rPr>
                      <m:t>-10</m:t>
                    </m:r>
                  </m:sup>
                </m:sSup>
                <m:r>
                  <m:rPr>
                    <m:sty m:val="p"/>
                  </m:rPr>
                  <w:rPr>
                    <w:rFonts w:ascii="Cambria Math" w:eastAsia="Times New Roman" w:hAnsi="Cambria Math" w:cs="Times New Roman"/>
                    <w:sz w:val="20"/>
                    <w:szCs w:val="20"/>
                    <w:lang w:val=""/>
                  </w:rPr>
                  <m:t>/</m:t>
                </m:r>
                <m:rad>
                  <m:radPr>
                    <m:degHide m:val="1"/>
                    <m:ctrlPr>
                      <w:rPr>
                        <w:rFonts w:ascii="Cambria Math" w:eastAsia="Times New Roman" w:hAnsi="Cambria Math" w:cs="Times New Roman"/>
                        <w:sz w:val="24"/>
                        <w:szCs w:val="24"/>
                        <w:lang w:val=""/>
                      </w:rPr>
                    </m:ctrlPr>
                  </m:radPr>
                  <m:deg/>
                  <m:e>
                    <m:r>
                      <w:rPr>
                        <w:rFonts w:ascii="Cambria Math" w:eastAsia="Times New Roman" w:hAnsi="Cambria Math" w:cs="Times New Roman"/>
                        <w:sz w:val="20"/>
                        <w:szCs w:val="20"/>
                        <w:lang w:val=""/>
                      </w:rPr>
                      <m:t>τ</m:t>
                    </m:r>
                  </m:e>
                </m:rad>
              </m:oMath>
            </m:oMathPara>
          </w:p>
        </w:tc>
        <w:tc>
          <w:tcPr>
            <w:tcW w:w="204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80BF01" w14:textId="77777777" w:rsidR="003B44DE" w:rsidRPr="003B44DE" w:rsidRDefault="00674B04" w:rsidP="003B44DE">
            <w:pPr>
              <w:spacing w:after="0" w:line="240" w:lineRule="auto"/>
              <w:rPr>
                <w:rFonts w:ascii="Cambria Math" w:eastAsia="Times New Roman" w:hAnsi="Cambria Math" w:cs="Times New Roman"/>
                <w:sz w:val="20"/>
                <w:szCs w:val="20"/>
                <w:lang w:val=""/>
              </w:rPr>
            </w:pPr>
            <m:oMathPara>
              <m:oMath>
                <m:sSub>
                  <m:sSubPr>
                    <m:ctrlPr>
                      <w:rPr>
                        <w:rFonts w:ascii="Cambria Math" w:eastAsia="Times New Roman" w:hAnsi="Cambria Math" w:cs="Times New Roman"/>
                        <w:sz w:val="24"/>
                        <w:szCs w:val="24"/>
                        <w:lang w:val=""/>
                      </w:rPr>
                    </m:ctrlPr>
                  </m:sSubPr>
                  <m:e>
                    <m:r>
                      <w:rPr>
                        <w:rFonts w:ascii="Cambria Math" w:eastAsia="Times New Roman" w:hAnsi="Cambria Math" w:cs="Times New Roman"/>
                        <w:sz w:val="20"/>
                        <w:szCs w:val="20"/>
                        <w:lang w:val=""/>
                      </w:rPr>
                      <m:t>σ</m:t>
                    </m:r>
                  </m:e>
                  <m:sub>
                    <m:r>
                      <w:rPr>
                        <w:rFonts w:ascii="Cambria Math" w:eastAsia="Times New Roman" w:hAnsi="Cambria Math" w:cs="Times New Roman"/>
                        <w:sz w:val="20"/>
                        <w:szCs w:val="20"/>
                        <w:lang w:val=""/>
                      </w:rPr>
                      <m:t>y</m:t>
                    </m:r>
                  </m:sub>
                </m:sSub>
                <m:r>
                  <m:rPr>
                    <m:sty m:val="p"/>
                  </m:rPr>
                  <w:rPr>
                    <w:rFonts w:ascii="Cambria Math" w:eastAsia="Times New Roman" w:hAnsi="Cambria Math" w:cs="Times New Roman"/>
                    <w:sz w:val="20"/>
                    <w:szCs w:val="20"/>
                    <w:lang w:val=""/>
                  </w:rPr>
                  <m:t>≤8×</m:t>
                </m:r>
                <m:sSup>
                  <m:sSupPr>
                    <m:ctrlPr>
                      <w:rPr>
                        <w:rFonts w:ascii="Cambria Math" w:eastAsia="Times New Roman" w:hAnsi="Cambria Math" w:cs="Times New Roman"/>
                        <w:sz w:val="24"/>
                        <w:szCs w:val="24"/>
                        <w:lang w:val=""/>
                      </w:rPr>
                    </m:ctrlPr>
                  </m:sSupPr>
                  <m:e>
                    <m:r>
                      <m:rPr>
                        <m:sty m:val="p"/>
                      </m:rPr>
                      <w:rPr>
                        <w:rFonts w:ascii="Cambria Math" w:eastAsia="Times New Roman" w:hAnsi="Cambria Math" w:cs="Times New Roman"/>
                        <w:sz w:val="20"/>
                        <w:szCs w:val="20"/>
                        <w:lang w:val=""/>
                      </w:rPr>
                      <m:t>10</m:t>
                    </m:r>
                  </m:e>
                  <m:sup>
                    <m:r>
                      <m:rPr>
                        <m:sty m:val="p"/>
                      </m:rPr>
                      <w:rPr>
                        <w:rFonts w:ascii="Cambria Math" w:eastAsia="Times New Roman" w:hAnsi="Cambria Math" w:cs="Times New Roman"/>
                        <w:sz w:val="20"/>
                        <w:szCs w:val="20"/>
                        <w:lang w:val=""/>
                      </w:rPr>
                      <m:t>-11</m:t>
                    </m:r>
                  </m:sup>
                </m:sSup>
                <m:r>
                  <m:rPr>
                    <m:sty m:val="p"/>
                  </m:rPr>
                  <w:rPr>
                    <w:rFonts w:ascii="Cambria Math" w:eastAsia="Times New Roman" w:hAnsi="Cambria Math" w:cs="Times New Roman"/>
                    <w:sz w:val="20"/>
                    <w:szCs w:val="20"/>
                    <w:lang w:val=""/>
                  </w:rPr>
                  <m:t>/</m:t>
                </m:r>
                <m:rad>
                  <m:radPr>
                    <m:degHide m:val="1"/>
                    <m:ctrlPr>
                      <w:rPr>
                        <w:rFonts w:ascii="Cambria Math" w:eastAsia="Times New Roman" w:hAnsi="Cambria Math" w:cs="Times New Roman"/>
                        <w:sz w:val="24"/>
                        <w:szCs w:val="24"/>
                        <w:lang w:val=""/>
                      </w:rPr>
                    </m:ctrlPr>
                  </m:radPr>
                  <m:deg/>
                  <m:e>
                    <m:r>
                      <w:rPr>
                        <w:rFonts w:ascii="Cambria Math" w:eastAsia="Times New Roman" w:hAnsi="Cambria Math" w:cs="Times New Roman"/>
                        <w:sz w:val="20"/>
                        <w:szCs w:val="20"/>
                        <w:lang w:val=""/>
                      </w:rPr>
                      <m:t>τ</m:t>
                    </m:r>
                  </m:e>
                </m:rad>
              </m:oMath>
            </m:oMathPara>
          </w:p>
        </w:tc>
        <w:tc>
          <w:tcPr>
            <w:tcW w:w="16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2C4CB9"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 xml:space="preserve">Fractional frequency over </w:t>
            </w:r>
          </w:p>
          <w:p w14:paraId="7B883A5B" w14:textId="5F086389" w:rsidR="003B44DE" w:rsidRPr="003B44DE" w:rsidRDefault="003B44DE" w:rsidP="00235CD8">
            <w:pPr>
              <w:spacing w:after="0" w:line="240" w:lineRule="auto"/>
              <w:rPr>
                <w:rFonts w:ascii="Cambria Math" w:eastAsia="Times New Roman" w:hAnsi="Cambria Math" w:cs="Times New Roman"/>
                <w:sz w:val="20"/>
                <w:szCs w:val="20"/>
                <w:lang w:val=""/>
              </w:rPr>
            </w:pPr>
            <m:oMathPara>
              <m:oMath>
                <m:r>
                  <m:rPr>
                    <m:sty m:val="p"/>
                  </m:rPr>
                  <w:rPr>
                    <w:rFonts w:ascii="Cambria Math" w:eastAsia="Times New Roman" w:hAnsi="Cambria Math" w:cs="Times New Roman"/>
                    <w:sz w:val="20"/>
                    <w:szCs w:val="20"/>
                    <w:lang w:val=""/>
                  </w:rPr>
                  <m:t>1&lt;</m:t>
                </m:r>
                <m:r>
                  <w:rPr>
                    <w:rFonts w:ascii="Cambria Math" w:eastAsia="Times New Roman" w:hAnsi="Cambria Math" w:cs="Times New Roman"/>
                    <w:sz w:val="20"/>
                    <w:szCs w:val="20"/>
                    <w:lang w:val=""/>
                  </w:rPr>
                  <m:t>τ</m:t>
                </m:r>
                <m:r>
                  <m:rPr>
                    <m:sty m:val="p"/>
                  </m:rPr>
                  <w:rPr>
                    <w:rFonts w:ascii="Cambria Math" w:eastAsia="Times New Roman" w:hAnsi="Cambria Math" w:cs="Times New Roman"/>
                    <w:sz w:val="20"/>
                    <w:szCs w:val="20"/>
                    <w:lang w:val=""/>
                  </w:rPr>
                  <m:t>&lt;30</m:t>
                </m:r>
                <m:r>
                  <w:rPr>
                    <w:rFonts w:ascii="Cambria Math" w:eastAsia="Times New Roman" w:hAnsi="Cambria Math" w:cs="Times New Roman"/>
                    <w:sz w:val="20"/>
                    <w:szCs w:val="20"/>
                    <w:lang w:val=""/>
                  </w:rPr>
                  <m:t>k</m:t>
                </m:r>
                <m:r>
                  <m:rPr>
                    <m:sty m:val="p"/>
                  </m:rPr>
                  <w:rPr>
                    <w:rFonts w:ascii="Cambria Math" w:eastAsia="Times New Roman" w:hAnsi="Cambria Math" w:cs="Times New Roman"/>
                    <w:sz w:val="20"/>
                    <w:szCs w:val="20"/>
                    <w:lang w:val=""/>
                  </w:rPr>
                  <m:t> </m:t>
                </m:r>
              </m:oMath>
            </m:oMathPara>
          </w:p>
        </w:tc>
      </w:tr>
      <w:tr w:rsidR="003B44DE" w:rsidRPr="003B44DE" w14:paraId="03766EFC" w14:textId="77777777" w:rsidTr="003B44DE">
        <w:tc>
          <w:tcPr>
            <w:tcW w:w="1562"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3FF9CEDC"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b/>
                <w:bCs/>
                <w:sz w:val="20"/>
                <w:szCs w:val="20"/>
              </w:rPr>
              <w:t>Long-term aging</w:t>
            </w:r>
          </w:p>
        </w:tc>
        <w:tc>
          <w:tcPr>
            <w:tcW w:w="1987"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6D81B552"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&lt; 9 x 10</w:t>
            </w:r>
            <w:r w:rsidRPr="003B44DE">
              <w:rPr>
                <w:rFonts w:ascii="Calibri" w:eastAsia="Times New Roman" w:hAnsi="Calibri" w:cs="Calibri"/>
                <w:sz w:val="20"/>
                <w:szCs w:val="20"/>
                <w:vertAlign w:val="superscript"/>
              </w:rPr>
              <w:t xml:space="preserve">-10 </w:t>
            </w:r>
          </w:p>
        </w:tc>
        <w:tc>
          <w:tcPr>
            <w:tcW w:w="2048"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2415FE1B"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&lt; 1 x 10</w:t>
            </w:r>
            <w:r w:rsidRPr="003B44DE">
              <w:rPr>
                <w:rFonts w:ascii="Calibri" w:eastAsia="Times New Roman" w:hAnsi="Calibri" w:cs="Calibri"/>
                <w:sz w:val="20"/>
                <w:szCs w:val="20"/>
                <w:vertAlign w:val="superscript"/>
              </w:rPr>
              <w:t xml:space="preserve">-10 </w:t>
            </w:r>
          </w:p>
        </w:tc>
        <w:tc>
          <w:tcPr>
            <w:tcW w:w="1662"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7AC21A43"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Fractional frequency per month</w:t>
            </w:r>
          </w:p>
        </w:tc>
      </w:tr>
      <w:tr w:rsidR="003B44DE" w:rsidRPr="003B44DE" w14:paraId="407E8A24" w14:textId="77777777" w:rsidTr="003B44DE">
        <w:tc>
          <w:tcPr>
            <w:tcW w:w="15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8C69B9" w14:textId="77777777" w:rsidR="003B44DE" w:rsidRPr="003B44DE" w:rsidRDefault="003B44DE" w:rsidP="003B44DE">
            <w:pPr>
              <w:spacing w:after="0" w:line="240" w:lineRule="auto"/>
              <w:rPr>
                <w:rFonts w:ascii="Calibri" w:eastAsia="Times New Roman" w:hAnsi="Calibri" w:cs="Calibri"/>
                <w:sz w:val="20"/>
                <w:szCs w:val="20"/>
              </w:rPr>
            </w:pPr>
            <w:proofErr w:type="spellStart"/>
            <w:r w:rsidRPr="003B44DE">
              <w:rPr>
                <w:rFonts w:ascii="Calibri" w:eastAsia="Times New Roman" w:hAnsi="Calibri" w:cs="Calibri"/>
                <w:b/>
                <w:bCs/>
                <w:sz w:val="20"/>
                <w:szCs w:val="20"/>
              </w:rPr>
              <w:t>TempCo</w:t>
            </w:r>
            <w:proofErr w:type="spellEnd"/>
          </w:p>
        </w:tc>
        <w:tc>
          <w:tcPr>
            <w:tcW w:w="198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C0D68B" w14:textId="77777777" w:rsidR="003B44DE" w:rsidRPr="003B44DE" w:rsidRDefault="003B44DE" w:rsidP="003B44DE">
            <w:pPr>
              <w:spacing w:after="0" w:line="240" w:lineRule="auto"/>
              <w:rPr>
                <w:rFonts w:ascii="Times New Roman" w:eastAsia="Times New Roman" w:hAnsi="Times New Roman" w:cs="Times New Roman"/>
                <w:sz w:val="20"/>
                <w:szCs w:val="20"/>
              </w:rPr>
            </w:pPr>
            <m:oMath>
              <m:r>
                <m:rPr>
                  <m:sty m:val="p"/>
                </m:rPr>
                <w:rPr>
                  <w:rFonts w:ascii="Cambria Math" w:eastAsia="Times New Roman" w:hAnsi="Cambria Math" w:cs="Times New Roman"/>
                  <w:sz w:val="20"/>
                  <w:szCs w:val="20"/>
                </w:rPr>
                <m:t>±5×</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0"/>
                      <w:szCs w:val="20"/>
                    </w:rPr>
                    <m:t>10</m:t>
                  </m:r>
                </m:e>
                <m:sup>
                  <m:r>
                    <m:rPr>
                      <m:sty m:val="p"/>
                    </m:rPr>
                    <w:rPr>
                      <w:rFonts w:ascii="Cambria Math" w:eastAsia="Times New Roman" w:hAnsi="Cambria Math" w:cs="Times New Roman"/>
                      <w:sz w:val="20"/>
                      <w:szCs w:val="20"/>
                    </w:rPr>
                    <m:t>-10</m:t>
                  </m:r>
                </m:sup>
              </m:sSup>
            </m:oMath>
            <w:r w:rsidRPr="003B44DE">
              <w:rPr>
                <w:rFonts w:ascii="Calibri" w:eastAsia="Times New Roman" w:hAnsi="Calibri" w:cs="Calibri"/>
                <w:sz w:val="20"/>
                <w:szCs w:val="20"/>
              </w:rPr>
              <w:t xml:space="preserve">  </w:t>
            </w:r>
          </w:p>
        </w:tc>
        <w:tc>
          <w:tcPr>
            <w:tcW w:w="204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F3618C" w14:textId="77777777" w:rsidR="003B44DE" w:rsidRPr="003B44DE" w:rsidRDefault="003B44DE" w:rsidP="003B44DE">
            <w:pPr>
              <w:spacing w:after="0" w:line="240" w:lineRule="auto"/>
              <w:rPr>
                <w:rFonts w:ascii="Times New Roman" w:eastAsia="Times New Roman" w:hAnsi="Times New Roman" w:cs="Times New Roman"/>
                <w:sz w:val="20"/>
                <w:szCs w:val="20"/>
              </w:rPr>
            </w:pPr>
            <w:r w:rsidRPr="003B44DE">
              <w:rPr>
                <w:rFonts w:ascii="Calibri" w:eastAsia="Times New Roman" w:hAnsi="Calibri" w:cs="Calibri"/>
                <w:sz w:val="20"/>
                <w:szCs w:val="20"/>
              </w:rPr>
              <w:t> </w:t>
            </w:r>
            <m:oMath>
              <m:r>
                <m:rPr>
                  <m:sty m:val="p"/>
                </m:rPr>
                <w:rPr>
                  <w:rFonts w:ascii="Cambria Math" w:eastAsia="Times New Roman" w:hAnsi="Cambria Math" w:cs="Times New Roman"/>
                  <w:sz w:val="20"/>
                  <w:szCs w:val="20"/>
                </w:rPr>
                <m:t>±1×</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0"/>
                      <w:szCs w:val="20"/>
                    </w:rPr>
                    <m:t>10</m:t>
                  </m:r>
                </m:e>
                <m:sup>
                  <m:r>
                    <m:rPr>
                      <m:sty m:val="p"/>
                    </m:rPr>
                    <w:rPr>
                      <w:rFonts w:ascii="Cambria Math" w:eastAsia="Times New Roman" w:hAnsi="Cambria Math" w:cs="Times New Roman"/>
                      <w:sz w:val="20"/>
                      <w:szCs w:val="20"/>
                    </w:rPr>
                    <m:t>-10</m:t>
                  </m:r>
                </m:sup>
              </m:sSup>
            </m:oMath>
            <w:r w:rsidRPr="003B44DE">
              <w:rPr>
                <w:rFonts w:ascii="Calibri" w:eastAsia="Times New Roman" w:hAnsi="Calibri" w:cs="Calibri"/>
                <w:sz w:val="20"/>
                <w:szCs w:val="20"/>
              </w:rPr>
              <w:t xml:space="preserve">  </w:t>
            </w:r>
          </w:p>
        </w:tc>
        <w:tc>
          <w:tcPr>
            <w:tcW w:w="16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F20389"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Over temp. range </w:t>
            </w:r>
          </w:p>
        </w:tc>
      </w:tr>
      <w:tr w:rsidR="003B44DE" w:rsidRPr="003B44DE" w14:paraId="36855589" w14:textId="77777777" w:rsidTr="003B44DE">
        <w:tc>
          <w:tcPr>
            <w:tcW w:w="1562"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51866C15"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b/>
                <w:bCs/>
                <w:sz w:val="20"/>
                <w:szCs w:val="20"/>
              </w:rPr>
              <w:t>Operating temp. range</w:t>
            </w:r>
          </w:p>
        </w:tc>
        <w:tc>
          <w:tcPr>
            <w:tcW w:w="1987"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2CED35C6" w14:textId="77777777" w:rsidR="003B44DE" w:rsidRPr="003B44DE" w:rsidRDefault="003B44DE" w:rsidP="003B44DE">
            <w:pPr>
              <w:spacing w:after="0" w:line="240" w:lineRule="auto"/>
              <w:rPr>
                <w:rFonts w:ascii="Cambria Math" w:eastAsia="Times New Roman" w:hAnsi="Cambria Math" w:cs="Times New Roman"/>
                <w:sz w:val="20"/>
                <w:szCs w:val="20"/>
                <w:lang w:val=""/>
              </w:rPr>
            </w:pPr>
            <m:oMathPara>
              <m:oMath>
                <m:r>
                  <m:rPr>
                    <m:sty m:val="p"/>
                  </m:rPr>
                  <w:rPr>
                    <w:rFonts w:ascii="Cambria Math" w:eastAsia="Times New Roman" w:hAnsi="Cambria Math" w:cs="Times New Roman"/>
                    <w:sz w:val="20"/>
                    <w:szCs w:val="20"/>
                    <w:lang w:val=""/>
                  </w:rPr>
                  <m:t>-10 °</m:t>
                </m:r>
                <m:r>
                  <w:rPr>
                    <w:rFonts w:ascii="Cambria Math" w:eastAsia="Times New Roman" w:hAnsi="Cambria Math" w:cs="Times New Roman"/>
                    <w:sz w:val="20"/>
                    <w:szCs w:val="20"/>
                    <w:lang w:val=""/>
                  </w:rPr>
                  <m:t>C</m:t>
                </m:r>
                <m:r>
                  <m:rPr>
                    <m:sty m:val="p"/>
                  </m:rPr>
                  <w:rPr>
                    <w:rFonts w:ascii="Cambria Math" w:eastAsia="Times New Roman" w:hAnsi="Cambria Math" w:cs="Times New Roman"/>
                    <w:sz w:val="20"/>
                    <w:szCs w:val="20"/>
                    <w:lang w:val=""/>
                  </w:rPr>
                  <m:t> - +70 °</m:t>
                </m:r>
                <m:r>
                  <w:rPr>
                    <w:rFonts w:ascii="Cambria Math" w:eastAsia="Times New Roman" w:hAnsi="Cambria Math" w:cs="Times New Roman"/>
                    <w:sz w:val="20"/>
                    <w:szCs w:val="20"/>
                    <w:lang w:val=""/>
                  </w:rPr>
                  <m:t>C</m:t>
                </m:r>
              </m:oMath>
            </m:oMathPara>
          </w:p>
        </w:tc>
        <w:tc>
          <w:tcPr>
            <w:tcW w:w="2048"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2334C619" w14:textId="77777777" w:rsidR="003B44DE" w:rsidRPr="003B44DE" w:rsidRDefault="003B44DE" w:rsidP="003B44DE">
            <w:pPr>
              <w:spacing w:after="0" w:line="240" w:lineRule="auto"/>
              <w:rPr>
                <w:rFonts w:ascii="Cambria Math" w:eastAsia="Times New Roman" w:hAnsi="Cambria Math" w:cs="Times New Roman"/>
                <w:sz w:val="20"/>
                <w:szCs w:val="20"/>
                <w:lang w:val=""/>
              </w:rPr>
            </w:pPr>
            <m:oMathPara>
              <m:oMath>
                <m:r>
                  <m:rPr>
                    <m:sty m:val="p"/>
                  </m:rPr>
                  <w:rPr>
                    <w:rFonts w:ascii="Cambria Math" w:eastAsia="Times New Roman" w:hAnsi="Cambria Math" w:cs="Times New Roman"/>
                    <w:sz w:val="20"/>
                    <w:szCs w:val="20"/>
                    <w:lang w:val=""/>
                  </w:rPr>
                  <m:t>-40 °</m:t>
                </m:r>
                <m:r>
                  <w:rPr>
                    <w:rFonts w:ascii="Cambria Math" w:eastAsia="Times New Roman" w:hAnsi="Cambria Math" w:cs="Times New Roman"/>
                    <w:sz w:val="20"/>
                    <w:szCs w:val="20"/>
                    <w:lang w:val=""/>
                  </w:rPr>
                  <m:t>C</m:t>
                </m:r>
                <m:r>
                  <m:rPr>
                    <m:sty m:val="p"/>
                  </m:rPr>
                  <w:rPr>
                    <w:rFonts w:ascii="Cambria Math" w:eastAsia="Times New Roman" w:hAnsi="Cambria Math" w:cs="Times New Roman"/>
                    <w:sz w:val="20"/>
                    <w:szCs w:val="20"/>
                    <w:lang w:val=""/>
                  </w:rPr>
                  <m:t> -+85 °</m:t>
                </m:r>
                <m:r>
                  <w:rPr>
                    <w:rFonts w:ascii="Cambria Math" w:eastAsia="Times New Roman" w:hAnsi="Cambria Math" w:cs="Times New Roman"/>
                    <w:sz w:val="20"/>
                    <w:szCs w:val="20"/>
                    <w:lang w:val=""/>
                  </w:rPr>
                  <m:t>C</m:t>
                </m:r>
              </m:oMath>
            </m:oMathPara>
          </w:p>
        </w:tc>
        <w:tc>
          <w:tcPr>
            <w:tcW w:w="1502" w:type="dxa"/>
            <w:tcBorders>
              <w:top w:val="single" w:sz="8" w:space="0" w:color="A3A3A3"/>
              <w:left w:val="single" w:sz="8" w:space="0" w:color="A3A3A3"/>
              <w:bottom w:val="single" w:sz="8" w:space="0" w:color="A3A3A3"/>
              <w:right w:val="single" w:sz="8" w:space="0" w:color="A3A3A3"/>
            </w:tcBorders>
            <w:shd w:val="clear" w:color="auto" w:fill="CCCCCC"/>
            <w:tcMar>
              <w:top w:w="40" w:type="dxa"/>
              <w:left w:w="60" w:type="dxa"/>
              <w:bottom w:w="40" w:type="dxa"/>
              <w:right w:w="60" w:type="dxa"/>
            </w:tcMar>
            <w:hideMark/>
          </w:tcPr>
          <w:p w14:paraId="3AA06667" w14:textId="77777777" w:rsidR="003B44DE" w:rsidRPr="003B44DE" w:rsidRDefault="003B44DE" w:rsidP="003B44DE">
            <w:pPr>
              <w:spacing w:after="0" w:line="240" w:lineRule="auto"/>
              <w:rPr>
                <w:rFonts w:ascii="Calibri" w:eastAsia="Times New Roman" w:hAnsi="Calibri" w:cs="Calibri"/>
                <w:sz w:val="20"/>
                <w:szCs w:val="20"/>
              </w:rPr>
            </w:pPr>
            <w:r w:rsidRPr="003B44DE">
              <w:rPr>
                <w:rFonts w:ascii="Calibri" w:eastAsia="Times New Roman" w:hAnsi="Calibri" w:cs="Calibri"/>
                <w:sz w:val="20"/>
                <w:szCs w:val="20"/>
              </w:rPr>
              <w:t> </w:t>
            </w:r>
          </w:p>
        </w:tc>
      </w:tr>
    </w:tbl>
    <w:p w14:paraId="342F33A0" w14:textId="77777777" w:rsidR="003B44DE" w:rsidRPr="003B44DE" w:rsidRDefault="003B44DE" w:rsidP="003B44DE">
      <w:pPr>
        <w:spacing w:line="240" w:lineRule="auto"/>
        <w:jc w:val="both"/>
        <w:rPr>
          <w:rFonts w:ascii="Calibri" w:eastAsia="Times New Roman" w:hAnsi="Calibri" w:cs="Calibri"/>
        </w:rPr>
      </w:pPr>
      <w:r w:rsidRPr="003B44DE">
        <w:rPr>
          <w:rFonts w:ascii="Calibri" w:eastAsia="Times New Roman" w:hAnsi="Calibri" w:cs="Calibri"/>
        </w:rPr>
        <w:t>Table 1: CSAC 2.0 project goals/Year 5 metrics. All metrics are expected to meet or exceed the currently available devices</w:t>
      </w:r>
    </w:p>
    <w:p w14:paraId="11DC4636" w14:textId="77777777" w:rsidR="003B44DE" w:rsidRPr="003B44DE" w:rsidRDefault="003B44DE" w:rsidP="003B44DE">
      <w:pPr>
        <w:spacing w:line="240" w:lineRule="auto"/>
        <w:jc w:val="both"/>
        <w:rPr>
          <w:rFonts w:ascii="Calibri" w:eastAsia="Times New Roman" w:hAnsi="Calibri" w:cs="Calibri"/>
        </w:rPr>
      </w:pPr>
      <w:r w:rsidRPr="003B44DE">
        <w:rPr>
          <w:rFonts w:ascii="Calibri" w:eastAsia="Times New Roman" w:hAnsi="Calibri" w:cs="Calibri"/>
          <w:u w:val="single"/>
        </w:rPr>
        <w:t>Phase 1 (12 months):</w:t>
      </w:r>
    </w:p>
    <w:p w14:paraId="4A7E4B3A" w14:textId="77777777" w:rsidR="003B44DE" w:rsidRPr="003B44DE" w:rsidRDefault="003B44DE" w:rsidP="003B44DE">
      <w:pPr>
        <w:numPr>
          <w:ilvl w:val="0"/>
          <w:numId w:val="1"/>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Develop concepts/designs for a complete low-cost CSAC;</w:t>
      </w:r>
    </w:p>
    <w:p w14:paraId="6A18C017" w14:textId="77777777" w:rsidR="003B44DE" w:rsidRPr="003B44DE" w:rsidRDefault="003B44DE" w:rsidP="003B44DE">
      <w:pPr>
        <w:numPr>
          <w:ilvl w:val="0"/>
          <w:numId w:val="1"/>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Develop a program plan (development schedule and cost, fab line changes, etc.);</w:t>
      </w:r>
    </w:p>
    <w:p w14:paraId="528E3242" w14:textId="77777777" w:rsidR="003B44DE" w:rsidRPr="003B44DE" w:rsidRDefault="003B44DE" w:rsidP="003B44DE">
      <w:pPr>
        <w:numPr>
          <w:ilvl w:val="0"/>
          <w:numId w:val="1"/>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Develop a fabrication plan to enable volume manufacturing (refinement/update milestones);</w:t>
      </w:r>
    </w:p>
    <w:p w14:paraId="342AEA24" w14:textId="77777777" w:rsidR="003B44DE" w:rsidRPr="003B44DE" w:rsidRDefault="003B44DE" w:rsidP="003B44DE">
      <w:pPr>
        <w:numPr>
          <w:ilvl w:val="0"/>
          <w:numId w:val="1"/>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Develop initial components  for performance enhancements and cost savings;</w:t>
      </w:r>
    </w:p>
    <w:p w14:paraId="6D652A96" w14:textId="783FD18C" w:rsidR="003B44DE" w:rsidRPr="003B44DE" w:rsidRDefault="0058632C" w:rsidP="003B44DE">
      <w:pPr>
        <w:numPr>
          <w:ilvl w:val="0"/>
          <w:numId w:val="1"/>
        </w:numPr>
        <w:spacing w:after="0" w:line="240" w:lineRule="auto"/>
        <w:ind w:left="540"/>
        <w:jc w:val="both"/>
        <w:textAlignment w:val="center"/>
        <w:rPr>
          <w:rFonts w:ascii="Calibri" w:eastAsia="Times New Roman" w:hAnsi="Calibri" w:cs="Calibri"/>
        </w:rPr>
      </w:pPr>
      <w:r>
        <w:rPr>
          <w:rFonts w:ascii="Calibri" w:eastAsia="Times New Roman" w:hAnsi="Calibri" w:cs="Calibri"/>
        </w:rPr>
        <w:t>Conduct</w:t>
      </w:r>
      <w:r w:rsidR="003B44DE" w:rsidRPr="003B44DE">
        <w:rPr>
          <w:rFonts w:ascii="Calibri" w:eastAsia="Times New Roman" w:hAnsi="Calibri" w:cs="Calibri"/>
        </w:rPr>
        <w:t xml:space="preserve"> early short-loop experiments.</w:t>
      </w:r>
    </w:p>
    <w:p w14:paraId="5D1FAF95"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239FC0F8" w14:textId="2BB5912C"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u w:val="single"/>
        </w:rPr>
        <w:t>Phase 2 (</w:t>
      </w:r>
      <w:r w:rsidR="00251A2F">
        <w:rPr>
          <w:rFonts w:ascii="Calibri" w:eastAsia="Times New Roman" w:hAnsi="Calibri" w:cs="Calibri"/>
          <w:u w:val="single"/>
        </w:rPr>
        <w:t>12</w:t>
      </w:r>
      <w:r w:rsidR="00251A2F" w:rsidRPr="003B44DE">
        <w:rPr>
          <w:rFonts w:ascii="Calibri" w:eastAsia="Times New Roman" w:hAnsi="Calibri" w:cs="Calibri"/>
          <w:u w:val="single"/>
        </w:rPr>
        <w:t xml:space="preserve"> </w:t>
      </w:r>
      <w:r w:rsidRPr="003B44DE">
        <w:rPr>
          <w:rFonts w:ascii="Calibri" w:eastAsia="Times New Roman" w:hAnsi="Calibri" w:cs="Calibri"/>
          <w:u w:val="single"/>
        </w:rPr>
        <w:t>months):</w:t>
      </w:r>
    </w:p>
    <w:p w14:paraId="42BABBC4" w14:textId="77777777" w:rsidR="003B44DE" w:rsidRPr="003B44DE" w:rsidRDefault="003B44DE" w:rsidP="003B44DE">
      <w:pPr>
        <w:numPr>
          <w:ilvl w:val="0"/>
          <w:numId w:val="2"/>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Produce 10 prototype clocks achieving a 2X reduction in cost while in low-volume production;</w:t>
      </w:r>
    </w:p>
    <w:p w14:paraId="10C22799" w14:textId="4356E357" w:rsidR="003B44DE" w:rsidRPr="003B44DE" w:rsidRDefault="0058632C" w:rsidP="003B44DE">
      <w:pPr>
        <w:numPr>
          <w:ilvl w:val="0"/>
          <w:numId w:val="2"/>
        </w:numPr>
        <w:spacing w:after="0" w:line="240" w:lineRule="auto"/>
        <w:ind w:left="540"/>
        <w:jc w:val="both"/>
        <w:textAlignment w:val="center"/>
        <w:rPr>
          <w:rFonts w:ascii="Calibri" w:eastAsia="Times New Roman" w:hAnsi="Calibri" w:cs="Calibri"/>
        </w:rPr>
      </w:pPr>
      <w:r>
        <w:rPr>
          <w:rFonts w:ascii="Calibri" w:eastAsia="Times New Roman" w:hAnsi="Calibri" w:cs="Calibri"/>
        </w:rPr>
        <w:t>Demonstrate</w:t>
      </w:r>
      <w:r w:rsidR="003B44DE" w:rsidRPr="003B44DE">
        <w:rPr>
          <w:rFonts w:ascii="Calibri" w:eastAsia="Times New Roman" w:hAnsi="Calibri" w:cs="Calibri"/>
        </w:rPr>
        <w:t xml:space="preserve"> short-term stability in Table 1;</w:t>
      </w:r>
    </w:p>
    <w:p w14:paraId="0375C073" w14:textId="77777777" w:rsidR="003B44DE" w:rsidRPr="003B44DE" w:rsidRDefault="003B44DE" w:rsidP="003B44DE">
      <w:pPr>
        <w:numPr>
          <w:ilvl w:val="0"/>
          <w:numId w:val="2"/>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Initiate environmental testing for all parameters in Table 1;</w:t>
      </w:r>
    </w:p>
    <w:p w14:paraId="5764A12A" w14:textId="54A95961" w:rsidR="003B44DE" w:rsidRPr="003B44DE" w:rsidRDefault="003B44DE" w:rsidP="003B44DE">
      <w:pPr>
        <w:numPr>
          <w:ilvl w:val="0"/>
          <w:numId w:val="2"/>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 xml:space="preserve">Finalize plan for </w:t>
      </w:r>
      <w:r w:rsidR="00815913">
        <w:rPr>
          <w:rFonts w:ascii="Calibri" w:eastAsia="Times New Roman" w:hAnsi="Calibri" w:cs="Calibri"/>
        </w:rPr>
        <w:t>high-</w:t>
      </w:r>
      <w:r w:rsidRPr="003B44DE">
        <w:rPr>
          <w:rFonts w:ascii="Calibri" w:eastAsia="Times New Roman" w:hAnsi="Calibri" w:cs="Calibri"/>
        </w:rPr>
        <w:t>volume production</w:t>
      </w:r>
    </w:p>
    <w:p w14:paraId="4A87BA99"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540E6077"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469789C0"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u w:val="single"/>
        </w:rPr>
        <w:t>Phase 3 (24 months):</w:t>
      </w:r>
    </w:p>
    <w:p w14:paraId="3E8C6065" w14:textId="77777777" w:rsidR="003B44DE" w:rsidRPr="003B44DE" w:rsidRDefault="003B44DE" w:rsidP="003B44DE">
      <w:pPr>
        <w:numPr>
          <w:ilvl w:val="0"/>
          <w:numId w:val="3"/>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Produce 100 prototype clocks</w:t>
      </w:r>
    </w:p>
    <w:p w14:paraId="2A5ACDC5" w14:textId="775C67A1" w:rsidR="003B44DE" w:rsidRPr="003B44DE" w:rsidRDefault="0058632C" w:rsidP="003B44DE">
      <w:pPr>
        <w:numPr>
          <w:ilvl w:val="0"/>
          <w:numId w:val="3"/>
        </w:numPr>
        <w:spacing w:after="0" w:line="240" w:lineRule="auto"/>
        <w:ind w:left="540"/>
        <w:jc w:val="both"/>
        <w:textAlignment w:val="center"/>
        <w:rPr>
          <w:rFonts w:ascii="Calibri" w:eastAsia="Times New Roman" w:hAnsi="Calibri" w:cs="Calibri"/>
        </w:rPr>
      </w:pPr>
      <w:r>
        <w:rPr>
          <w:rFonts w:ascii="Calibri" w:eastAsia="Times New Roman" w:hAnsi="Calibri" w:cs="Calibri"/>
        </w:rPr>
        <w:t>Demonstrate</w:t>
      </w:r>
      <w:r w:rsidR="003B44DE" w:rsidRPr="003B44DE">
        <w:rPr>
          <w:rFonts w:ascii="Calibri" w:eastAsia="Times New Roman" w:hAnsi="Calibri" w:cs="Calibri"/>
        </w:rPr>
        <w:t xml:space="preserve"> all metrics in Table 1</w:t>
      </w:r>
    </w:p>
    <w:p w14:paraId="7894D88D" w14:textId="77777777" w:rsidR="003B44DE" w:rsidRPr="003B44DE" w:rsidRDefault="003B44DE" w:rsidP="003B44DE">
      <w:pPr>
        <w:spacing w:after="0" w:line="240" w:lineRule="auto"/>
        <w:ind w:left="540"/>
        <w:jc w:val="both"/>
        <w:rPr>
          <w:rFonts w:ascii="Calibri" w:eastAsia="Times New Roman" w:hAnsi="Calibri" w:cs="Calibri"/>
          <w:color w:val="FF0000"/>
        </w:rPr>
      </w:pPr>
      <w:r w:rsidRPr="003B44DE">
        <w:rPr>
          <w:rFonts w:ascii="Calibri" w:eastAsia="Times New Roman" w:hAnsi="Calibri" w:cs="Calibri"/>
          <w:color w:val="FF0000"/>
        </w:rPr>
        <w:lastRenderedPageBreak/>
        <w:t> </w:t>
      </w:r>
    </w:p>
    <w:p w14:paraId="01449F33"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409C1250"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b/>
          <w:bCs/>
        </w:rPr>
        <w:t>Deliverables:</w:t>
      </w:r>
    </w:p>
    <w:p w14:paraId="3E77560A"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032C8DCF" w14:textId="77777777" w:rsidR="003B44DE" w:rsidRPr="003B44DE" w:rsidRDefault="003B44DE" w:rsidP="003B44DE">
      <w:pPr>
        <w:numPr>
          <w:ilvl w:val="0"/>
          <w:numId w:val="4"/>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Biweekly review meetings</w:t>
      </w:r>
    </w:p>
    <w:p w14:paraId="5F48FF4F" w14:textId="77777777" w:rsidR="003B44DE" w:rsidRPr="003B44DE" w:rsidRDefault="003B44DE" w:rsidP="003B44DE">
      <w:pPr>
        <w:numPr>
          <w:ilvl w:val="0"/>
          <w:numId w:val="4"/>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Monthly financial reports</w:t>
      </w:r>
    </w:p>
    <w:p w14:paraId="0E7773FD" w14:textId="77777777" w:rsidR="003B44DE" w:rsidRPr="003B44DE" w:rsidRDefault="003B44DE" w:rsidP="003B44DE">
      <w:pPr>
        <w:numPr>
          <w:ilvl w:val="0"/>
          <w:numId w:val="4"/>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Quarterly site visits</w:t>
      </w:r>
    </w:p>
    <w:p w14:paraId="17A965D0" w14:textId="37B57D2E" w:rsidR="003B44DE" w:rsidRDefault="003B44DE" w:rsidP="003B44DE">
      <w:pPr>
        <w:numPr>
          <w:ilvl w:val="0"/>
          <w:numId w:val="4"/>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Quarterly technical reports</w:t>
      </w:r>
    </w:p>
    <w:p w14:paraId="21194F14" w14:textId="0394EE69" w:rsidR="00846060" w:rsidRDefault="00FD5359" w:rsidP="00846060">
      <w:pPr>
        <w:numPr>
          <w:ilvl w:val="0"/>
          <w:numId w:val="4"/>
        </w:numPr>
        <w:spacing w:after="0" w:line="240" w:lineRule="auto"/>
        <w:ind w:left="540"/>
        <w:jc w:val="both"/>
        <w:textAlignment w:val="center"/>
        <w:rPr>
          <w:rFonts w:ascii="Calibri" w:eastAsia="Times New Roman" w:hAnsi="Calibri" w:cs="Calibri"/>
        </w:rPr>
      </w:pPr>
      <w:r>
        <w:rPr>
          <w:rFonts w:ascii="Calibri" w:eastAsia="Times New Roman" w:hAnsi="Calibri" w:cs="Calibri"/>
        </w:rPr>
        <w:t>Each e</w:t>
      </w:r>
      <w:r w:rsidR="00846060">
        <w:rPr>
          <w:rFonts w:ascii="Calibri" w:eastAsia="Times New Roman" w:hAnsi="Calibri" w:cs="Calibri"/>
        </w:rPr>
        <w:t>nd</w:t>
      </w:r>
      <w:r w:rsidR="00815913">
        <w:rPr>
          <w:rFonts w:ascii="Calibri" w:eastAsia="Times New Roman" w:hAnsi="Calibri" w:cs="Calibri"/>
        </w:rPr>
        <w:t>-</w:t>
      </w:r>
      <w:r w:rsidR="00846060">
        <w:rPr>
          <w:rFonts w:ascii="Calibri" w:eastAsia="Times New Roman" w:hAnsi="Calibri" w:cs="Calibri"/>
        </w:rPr>
        <w:t>of</w:t>
      </w:r>
      <w:r w:rsidR="00815913">
        <w:rPr>
          <w:rFonts w:ascii="Calibri" w:eastAsia="Times New Roman" w:hAnsi="Calibri" w:cs="Calibri"/>
        </w:rPr>
        <w:t>-p</w:t>
      </w:r>
      <w:r w:rsidR="00846060">
        <w:rPr>
          <w:rFonts w:ascii="Calibri" w:eastAsia="Times New Roman" w:hAnsi="Calibri" w:cs="Calibri"/>
        </w:rPr>
        <w:t>hase report</w:t>
      </w:r>
    </w:p>
    <w:p w14:paraId="58B3992E" w14:textId="038AEB9E" w:rsidR="003B44DE" w:rsidRPr="003B44DE" w:rsidRDefault="003B44DE" w:rsidP="003B44DE">
      <w:pPr>
        <w:numPr>
          <w:ilvl w:val="0"/>
          <w:numId w:val="4"/>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 xml:space="preserve">Year </w:t>
      </w:r>
      <w:r w:rsidR="00251A2F">
        <w:rPr>
          <w:rFonts w:ascii="Calibri" w:eastAsia="Times New Roman" w:hAnsi="Calibri" w:cs="Calibri"/>
        </w:rPr>
        <w:t>2</w:t>
      </w:r>
      <w:r w:rsidRPr="003B44DE">
        <w:rPr>
          <w:rFonts w:ascii="Calibri" w:eastAsia="Times New Roman" w:hAnsi="Calibri" w:cs="Calibri"/>
        </w:rPr>
        <w:t>: 10 prototype clocks</w:t>
      </w:r>
    </w:p>
    <w:p w14:paraId="7D085186" w14:textId="037DCC17" w:rsidR="003B44DE" w:rsidRPr="003B44DE" w:rsidRDefault="003B44DE" w:rsidP="003B44DE">
      <w:pPr>
        <w:numPr>
          <w:ilvl w:val="0"/>
          <w:numId w:val="4"/>
        </w:numPr>
        <w:spacing w:after="0" w:line="240" w:lineRule="auto"/>
        <w:ind w:left="540"/>
        <w:jc w:val="both"/>
        <w:textAlignment w:val="center"/>
        <w:rPr>
          <w:rFonts w:ascii="Calibri" w:eastAsia="Times New Roman" w:hAnsi="Calibri" w:cs="Calibri"/>
        </w:rPr>
      </w:pPr>
      <w:r w:rsidRPr="003B44DE">
        <w:rPr>
          <w:rFonts w:ascii="Calibri" w:eastAsia="Times New Roman" w:hAnsi="Calibri" w:cs="Calibri"/>
        </w:rPr>
        <w:t xml:space="preserve">Year </w:t>
      </w:r>
      <w:r w:rsidR="00251A2F">
        <w:rPr>
          <w:rFonts w:ascii="Calibri" w:eastAsia="Times New Roman" w:hAnsi="Calibri" w:cs="Calibri"/>
        </w:rPr>
        <w:t>4</w:t>
      </w:r>
      <w:r w:rsidRPr="003B44DE">
        <w:rPr>
          <w:rFonts w:ascii="Calibri" w:eastAsia="Times New Roman" w:hAnsi="Calibri" w:cs="Calibri"/>
        </w:rPr>
        <w:t>: 100 prototype clocks</w:t>
      </w:r>
    </w:p>
    <w:p w14:paraId="432C7D63"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1CD3149C" w14:textId="6EEA2033"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b/>
          <w:bCs/>
        </w:rPr>
        <w:t xml:space="preserve">Evaluation criteria: </w:t>
      </w:r>
    </w:p>
    <w:p w14:paraId="68CA6FBF" w14:textId="77777777" w:rsidR="003B44DE" w:rsidRPr="003B44DE" w:rsidRDefault="003B44DE" w:rsidP="003B44DE">
      <w:pPr>
        <w:spacing w:after="0" w:line="240" w:lineRule="auto"/>
        <w:jc w:val="both"/>
        <w:rPr>
          <w:rFonts w:ascii="Calibri" w:eastAsia="Times New Roman" w:hAnsi="Calibri" w:cs="Calibri"/>
          <w:color w:val="FF0000"/>
        </w:rPr>
      </w:pPr>
      <w:r w:rsidRPr="003B44DE">
        <w:rPr>
          <w:rFonts w:ascii="Calibri" w:eastAsia="Times New Roman" w:hAnsi="Calibri" w:cs="Calibri"/>
          <w:color w:val="FF0000"/>
        </w:rPr>
        <w:t> </w:t>
      </w:r>
    </w:p>
    <w:p w14:paraId="392DF2BD" w14:textId="4D44A16D"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xml:space="preserve">Proposals will be evaluated using the following criteria, listed in descending order of importance: (a) Overall Scientific and Technical Merit; (b) Potential contribution to the Army mission; (c)  Realism of Proposed Schedule; (d) Plans and Capability to Accomplish Technology Transition; (e) Cost Realism;  (f) </w:t>
      </w:r>
      <w:r w:rsidR="00693F99">
        <w:rPr>
          <w:rFonts w:ascii="Calibri" w:eastAsia="Times New Roman" w:hAnsi="Calibri" w:cs="Calibri"/>
        </w:rPr>
        <w:t>Offeror</w:t>
      </w:r>
      <w:r w:rsidRPr="003B44DE">
        <w:rPr>
          <w:rFonts w:ascii="Calibri" w:eastAsia="Times New Roman" w:hAnsi="Calibri" w:cs="Calibri"/>
        </w:rPr>
        <w:t>’s Capabilities and/or Related Experience; and (g) Cost Share</w:t>
      </w:r>
    </w:p>
    <w:p w14:paraId="32C61C45"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75375436" w14:textId="77777777" w:rsidR="003B44DE" w:rsidRPr="003B44DE" w:rsidRDefault="003B44DE" w:rsidP="003B44DE">
      <w:pPr>
        <w:numPr>
          <w:ilvl w:val="0"/>
          <w:numId w:val="5"/>
        </w:numPr>
        <w:spacing w:after="0" w:line="240" w:lineRule="auto"/>
        <w:ind w:left="540"/>
        <w:jc w:val="both"/>
        <w:textAlignment w:val="center"/>
        <w:rPr>
          <w:rFonts w:ascii="Calibri" w:eastAsia="Times New Roman" w:hAnsi="Calibri" w:cs="Calibri"/>
          <w:b/>
          <w:bCs/>
        </w:rPr>
      </w:pPr>
      <w:r w:rsidRPr="003B44DE">
        <w:rPr>
          <w:rFonts w:ascii="Calibri" w:eastAsia="Times New Roman" w:hAnsi="Calibri" w:cs="Calibri"/>
          <w:b/>
          <w:bCs/>
        </w:rPr>
        <w:t>Overall Scientific and Technical Merit</w:t>
      </w:r>
    </w:p>
    <w:p w14:paraId="66A690F4"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1F13CBDE" w14:textId="4B4D2E9B"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xml:space="preserve">The proposed technical approach is feasible, achievable, </w:t>
      </w:r>
      <w:r w:rsidR="00693F99">
        <w:rPr>
          <w:rFonts w:ascii="Calibri" w:eastAsia="Times New Roman" w:hAnsi="Calibri" w:cs="Calibri"/>
        </w:rPr>
        <w:t xml:space="preserve">and </w:t>
      </w:r>
      <w:r w:rsidRPr="003B44DE">
        <w:rPr>
          <w:rFonts w:ascii="Calibri" w:eastAsia="Times New Roman" w:hAnsi="Calibri" w:cs="Calibri"/>
        </w:rPr>
        <w:t>complete. Task descriptions and associated technical elements provided are complete and in a logical sequence with all proposed deliverables clearly defined such that a final outcome that achieves the goal can be expected as a result of award. The proposal identifies major technical risks and planned mitigation efforts are clearly defined and feasible.</w:t>
      </w:r>
    </w:p>
    <w:p w14:paraId="5580B45A"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4593BD15" w14:textId="77777777" w:rsidR="003B44DE" w:rsidRPr="003B44DE" w:rsidRDefault="003B44DE" w:rsidP="003B44DE">
      <w:pPr>
        <w:numPr>
          <w:ilvl w:val="0"/>
          <w:numId w:val="6"/>
        </w:numPr>
        <w:spacing w:after="0" w:line="240" w:lineRule="auto"/>
        <w:ind w:left="540"/>
        <w:jc w:val="both"/>
        <w:textAlignment w:val="center"/>
        <w:rPr>
          <w:rFonts w:ascii="Calibri" w:eastAsia="Times New Roman" w:hAnsi="Calibri" w:cs="Calibri"/>
          <w:b/>
          <w:bCs/>
        </w:rPr>
      </w:pPr>
      <w:r w:rsidRPr="003B44DE">
        <w:rPr>
          <w:rFonts w:ascii="Calibri" w:eastAsia="Times New Roman" w:hAnsi="Calibri" w:cs="Calibri"/>
          <w:b/>
          <w:bCs/>
        </w:rPr>
        <w:t>Potential contribution to the Army mission</w:t>
      </w:r>
    </w:p>
    <w:p w14:paraId="4FC9A70B"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061A37BA" w14:textId="26E22436"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The</w:t>
      </w:r>
      <w:r w:rsidR="00A231B7">
        <w:rPr>
          <w:rFonts w:ascii="Calibri" w:eastAsia="Times New Roman" w:hAnsi="Calibri" w:cs="Calibri"/>
        </w:rPr>
        <w:t xml:space="preserve"> offeror details the effort’s</w:t>
      </w:r>
      <w:r w:rsidRPr="003B44DE">
        <w:rPr>
          <w:rFonts w:ascii="Calibri" w:eastAsia="Times New Roman" w:hAnsi="Calibri" w:cs="Calibri"/>
        </w:rPr>
        <w:t xml:space="preserve"> potential contributions to the Army mission and the extent to which the research effort will contribute to balancing the overall ARL research program.</w:t>
      </w:r>
    </w:p>
    <w:p w14:paraId="36D88F2C"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2CF95218" w14:textId="77777777" w:rsidR="003B44DE" w:rsidRPr="003B44DE" w:rsidRDefault="003B44DE" w:rsidP="003B44DE">
      <w:pPr>
        <w:numPr>
          <w:ilvl w:val="0"/>
          <w:numId w:val="7"/>
        </w:numPr>
        <w:spacing w:after="0" w:line="240" w:lineRule="auto"/>
        <w:ind w:left="540"/>
        <w:jc w:val="both"/>
        <w:textAlignment w:val="center"/>
        <w:rPr>
          <w:rFonts w:ascii="Calibri" w:eastAsia="Times New Roman" w:hAnsi="Calibri" w:cs="Calibri"/>
          <w:b/>
          <w:bCs/>
        </w:rPr>
      </w:pPr>
      <w:r w:rsidRPr="003B44DE">
        <w:rPr>
          <w:rFonts w:ascii="Calibri" w:eastAsia="Times New Roman" w:hAnsi="Calibri" w:cs="Calibri"/>
          <w:b/>
          <w:bCs/>
        </w:rPr>
        <w:t>Realism of proposed schedule</w:t>
      </w:r>
    </w:p>
    <w:p w14:paraId="73CF24A7"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6CBE14E0"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The proposed schedule aggressively pursues performance metrics in the shortest timeframe and accurately accounts for that timeframe. The proposed schedule identifies and mitigates any potential schedule risk.</w:t>
      </w:r>
    </w:p>
    <w:p w14:paraId="5333B91B"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025111A9" w14:textId="77777777" w:rsidR="003B44DE" w:rsidRPr="003B44DE" w:rsidRDefault="003B44DE" w:rsidP="003B44DE">
      <w:pPr>
        <w:numPr>
          <w:ilvl w:val="0"/>
          <w:numId w:val="8"/>
        </w:numPr>
        <w:spacing w:after="0" w:line="240" w:lineRule="auto"/>
        <w:ind w:left="540"/>
        <w:jc w:val="both"/>
        <w:textAlignment w:val="center"/>
        <w:rPr>
          <w:rFonts w:ascii="Calibri" w:eastAsia="Times New Roman" w:hAnsi="Calibri" w:cs="Calibri"/>
          <w:b/>
          <w:bCs/>
        </w:rPr>
      </w:pPr>
      <w:r w:rsidRPr="003B44DE">
        <w:rPr>
          <w:rFonts w:ascii="Calibri" w:eastAsia="Times New Roman" w:hAnsi="Calibri" w:cs="Calibri"/>
          <w:b/>
          <w:bCs/>
        </w:rPr>
        <w:t>Plans and Capability to Accomplish Technology Transition</w:t>
      </w:r>
    </w:p>
    <w:p w14:paraId="7B1F337E"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77076454" w14:textId="720DFC7F"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xml:space="preserve">The </w:t>
      </w:r>
      <w:r w:rsidR="00693F99">
        <w:rPr>
          <w:rFonts w:ascii="Calibri" w:eastAsia="Times New Roman" w:hAnsi="Calibri" w:cs="Calibri"/>
        </w:rPr>
        <w:t>offeror</w:t>
      </w:r>
      <w:r w:rsidRPr="003B44DE">
        <w:rPr>
          <w:rFonts w:ascii="Calibri" w:eastAsia="Times New Roman" w:hAnsi="Calibri" w:cs="Calibri"/>
        </w:rPr>
        <w:t xml:space="preserve"> clearly demonstrates its capability and commitment to transition technology to the operational military community for the sake of enhancing U.S. defense. In addition, the evaluation will consider the extent to which the proposed intellectual property (IP) rights will potentially impact the Government’s ability to transition the technology.</w:t>
      </w:r>
    </w:p>
    <w:p w14:paraId="71A0EF83"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46115E50" w14:textId="77777777" w:rsidR="003B44DE" w:rsidRPr="003B44DE" w:rsidRDefault="003B44DE" w:rsidP="003B44DE">
      <w:pPr>
        <w:numPr>
          <w:ilvl w:val="0"/>
          <w:numId w:val="9"/>
        </w:numPr>
        <w:spacing w:after="0" w:line="240" w:lineRule="auto"/>
        <w:ind w:left="540"/>
        <w:jc w:val="both"/>
        <w:textAlignment w:val="center"/>
        <w:rPr>
          <w:rFonts w:ascii="Calibri" w:eastAsia="Times New Roman" w:hAnsi="Calibri" w:cs="Calibri"/>
          <w:b/>
          <w:bCs/>
        </w:rPr>
      </w:pPr>
      <w:r w:rsidRPr="003B44DE">
        <w:rPr>
          <w:rFonts w:ascii="Calibri" w:eastAsia="Times New Roman" w:hAnsi="Calibri" w:cs="Calibri"/>
          <w:b/>
          <w:bCs/>
        </w:rPr>
        <w:t>Cost Realism</w:t>
      </w:r>
    </w:p>
    <w:p w14:paraId="235C084B"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1CB6E7EF" w14:textId="6C3D1D38"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lastRenderedPageBreak/>
        <w:t xml:space="preserve">The proposed costs are realistic for the technical and management approaches offered and demonstrates the </w:t>
      </w:r>
      <w:r w:rsidR="00693F99">
        <w:rPr>
          <w:rFonts w:ascii="Calibri" w:eastAsia="Times New Roman" w:hAnsi="Calibri" w:cs="Calibri"/>
        </w:rPr>
        <w:t>offeror</w:t>
      </w:r>
      <w:r w:rsidRPr="003B44DE">
        <w:rPr>
          <w:rFonts w:ascii="Calibri" w:eastAsia="Times New Roman" w:hAnsi="Calibri" w:cs="Calibri"/>
        </w:rPr>
        <w:t xml:space="preserve">’s practical understanding of the effort. The costs proposed are based on realistic assumptions, reflect a sufficient understanding of the technical goals and objectives of the special notice, and are consistent with the </w:t>
      </w:r>
      <w:r w:rsidR="00693F99">
        <w:rPr>
          <w:rFonts w:ascii="Calibri" w:eastAsia="Times New Roman" w:hAnsi="Calibri" w:cs="Calibri"/>
        </w:rPr>
        <w:t>offeror</w:t>
      </w:r>
      <w:r w:rsidRPr="003B44DE">
        <w:rPr>
          <w:rFonts w:ascii="Calibri" w:eastAsia="Times New Roman" w:hAnsi="Calibri" w:cs="Calibri"/>
        </w:rPr>
        <w:t xml:space="preserve">’s technical approach (to include the proposed Statement of Work). At a minimum, the prime </w:t>
      </w:r>
      <w:r w:rsidR="00693F99">
        <w:rPr>
          <w:rFonts w:ascii="Calibri" w:eastAsia="Times New Roman" w:hAnsi="Calibri" w:cs="Calibri"/>
        </w:rPr>
        <w:t>offeror</w:t>
      </w:r>
      <w:r w:rsidRPr="003B44DE">
        <w:rPr>
          <w:rFonts w:ascii="Calibri" w:eastAsia="Times New Roman" w:hAnsi="Calibri" w:cs="Calibri"/>
        </w:rPr>
        <w:t xml:space="preserve"> and proposed </w:t>
      </w:r>
      <w:proofErr w:type="spellStart"/>
      <w:r w:rsidRPr="003B44DE">
        <w:rPr>
          <w:rFonts w:ascii="Calibri" w:eastAsia="Times New Roman" w:hAnsi="Calibri" w:cs="Calibri"/>
        </w:rPr>
        <w:t>subawardees</w:t>
      </w:r>
      <w:proofErr w:type="spellEnd"/>
      <w:r w:rsidRPr="003B44DE">
        <w:rPr>
          <w:rFonts w:ascii="Calibri" w:eastAsia="Times New Roman" w:hAnsi="Calibri" w:cs="Calibri"/>
        </w:rPr>
        <w:t xml:space="preserve"> substantiate the proposed costs with the type and number of labor hours proposed per task as well as the types and kinds of materials, equipment and fabrication costs proposed. It is expected that the effort will leverage all available relevant prior research in order to obtain the maximum benefit from the available funding. Both direct and indirect cost sharing may be a positive factor in the evaluation. ARL recognizes that undue emphasis on cost may motivate </w:t>
      </w:r>
      <w:r w:rsidR="00693F99">
        <w:rPr>
          <w:rFonts w:ascii="Calibri" w:eastAsia="Times New Roman" w:hAnsi="Calibri" w:cs="Calibri"/>
        </w:rPr>
        <w:t>offeror</w:t>
      </w:r>
      <w:r w:rsidRPr="003B44DE">
        <w:rPr>
          <w:rFonts w:ascii="Calibri" w:eastAsia="Times New Roman" w:hAnsi="Calibri" w:cs="Calibri"/>
        </w:rPr>
        <w:t>s to offer low-risk ideas with minimum uncertainty and to staff the effort with junior personnel in order to be in a more competitive posture. ARL discourages such cost strategies.</w:t>
      </w:r>
    </w:p>
    <w:p w14:paraId="2FEC88A1"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204242EF" w14:textId="2CEA39C6" w:rsidR="003B44DE" w:rsidRPr="003B44DE" w:rsidRDefault="00693F99" w:rsidP="003B44DE">
      <w:pPr>
        <w:numPr>
          <w:ilvl w:val="0"/>
          <w:numId w:val="10"/>
        </w:numPr>
        <w:spacing w:after="0" w:line="240" w:lineRule="auto"/>
        <w:ind w:left="540"/>
        <w:jc w:val="both"/>
        <w:textAlignment w:val="center"/>
        <w:rPr>
          <w:rFonts w:ascii="Calibri" w:eastAsia="Times New Roman" w:hAnsi="Calibri" w:cs="Calibri"/>
          <w:b/>
          <w:bCs/>
        </w:rPr>
      </w:pPr>
      <w:r>
        <w:rPr>
          <w:rFonts w:ascii="Calibri" w:eastAsia="Times New Roman" w:hAnsi="Calibri" w:cs="Calibri"/>
          <w:b/>
          <w:bCs/>
        </w:rPr>
        <w:t>Offeror</w:t>
      </w:r>
      <w:r w:rsidR="003B44DE" w:rsidRPr="003B44DE">
        <w:rPr>
          <w:rFonts w:ascii="Calibri" w:eastAsia="Times New Roman" w:hAnsi="Calibri" w:cs="Calibri"/>
          <w:b/>
          <w:bCs/>
        </w:rPr>
        <w:t>'s Capabilities and/or Related Experience</w:t>
      </w:r>
    </w:p>
    <w:p w14:paraId="290E9860"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2FF874A4" w14:textId="3E952DC1" w:rsid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xml:space="preserve">The </w:t>
      </w:r>
      <w:r w:rsidR="00693F99">
        <w:rPr>
          <w:rFonts w:ascii="Calibri" w:eastAsia="Times New Roman" w:hAnsi="Calibri" w:cs="Calibri"/>
        </w:rPr>
        <w:t>offeror</w:t>
      </w:r>
      <w:r w:rsidRPr="003B44DE">
        <w:rPr>
          <w:rFonts w:ascii="Calibri" w:eastAsia="Times New Roman" w:hAnsi="Calibri" w:cs="Calibri"/>
        </w:rPr>
        <w:t xml:space="preserve">'s prior experience in similar efforts clearly demonstrates an ability to deliver products that meet the proposed technical performance within the proposed budget and schedule. The proposed team has the expertise to manage the cost and schedule. Similar efforts completed/ongoing by the </w:t>
      </w:r>
      <w:r w:rsidR="00693F99">
        <w:rPr>
          <w:rFonts w:ascii="Calibri" w:eastAsia="Times New Roman" w:hAnsi="Calibri" w:cs="Calibri"/>
        </w:rPr>
        <w:t>offeror</w:t>
      </w:r>
      <w:r w:rsidRPr="003B44DE">
        <w:rPr>
          <w:rFonts w:ascii="Calibri" w:eastAsia="Times New Roman" w:hAnsi="Calibri" w:cs="Calibri"/>
        </w:rPr>
        <w:t xml:space="preserve"> in this area are fully described including identification of other Government sponsors.</w:t>
      </w:r>
    </w:p>
    <w:p w14:paraId="699F8248" w14:textId="77777777" w:rsidR="003B44DE" w:rsidRP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 </w:t>
      </w:r>
    </w:p>
    <w:p w14:paraId="2755E1AB" w14:textId="77777777" w:rsidR="003B44DE" w:rsidRPr="003B44DE" w:rsidRDefault="003B44DE" w:rsidP="003B44DE">
      <w:pPr>
        <w:numPr>
          <w:ilvl w:val="0"/>
          <w:numId w:val="11"/>
        </w:numPr>
        <w:spacing w:after="0" w:line="240" w:lineRule="auto"/>
        <w:ind w:left="540"/>
        <w:jc w:val="both"/>
        <w:textAlignment w:val="center"/>
        <w:rPr>
          <w:rFonts w:ascii="Calibri" w:eastAsia="Times New Roman" w:hAnsi="Calibri" w:cs="Calibri"/>
          <w:b/>
          <w:bCs/>
        </w:rPr>
      </w:pPr>
      <w:r w:rsidRPr="003B44DE">
        <w:rPr>
          <w:rFonts w:ascii="Calibri" w:eastAsia="Times New Roman" w:hAnsi="Calibri" w:cs="Calibri"/>
          <w:b/>
          <w:bCs/>
        </w:rPr>
        <w:t>Cost Share</w:t>
      </w:r>
    </w:p>
    <w:p w14:paraId="24BF2AF9" w14:textId="292DFFEE" w:rsidR="003B44DE" w:rsidRDefault="003B44DE" w:rsidP="003B44DE">
      <w:pPr>
        <w:spacing w:after="0" w:line="240" w:lineRule="auto"/>
        <w:ind w:left="540"/>
        <w:jc w:val="both"/>
        <w:rPr>
          <w:rFonts w:ascii="Calibri" w:eastAsia="Times New Roman" w:hAnsi="Calibri" w:cs="Calibri"/>
        </w:rPr>
      </w:pPr>
      <w:r w:rsidRPr="003B44DE">
        <w:rPr>
          <w:rFonts w:ascii="Calibri" w:eastAsia="Times New Roman" w:hAnsi="Calibri" w:cs="Calibri"/>
        </w:rPr>
        <w:t>Cost share is required in the form of monetary and in-kind contributions provided by the recipients to cover the total project cost. If all other criteria are equal, preference will be given to proposals with a higher percentage of cost share</w:t>
      </w:r>
      <w:r w:rsidR="00FD5359">
        <w:rPr>
          <w:rFonts w:ascii="Calibri" w:eastAsia="Times New Roman" w:hAnsi="Calibri" w:cs="Calibri"/>
        </w:rPr>
        <w:t xml:space="preserve"> demonstrating the offeror’s commitment to the success of the research effort</w:t>
      </w:r>
      <w:r w:rsidRPr="003B44DE">
        <w:rPr>
          <w:rFonts w:ascii="Calibri" w:eastAsia="Times New Roman" w:hAnsi="Calibri" w:cs="Calibri"/>
        </w:rPr>
        <w:t xml:space="preserve">. </w:t>
      </w:r>
    </w:p>
    <w:p w14:paraId="54E061BB" w14:textId="6F8F0E56" w:rsidR="003B44DE" w:rsidRPr="003B44DE" w:rsidRDefault="003B44DE" w:rsidP="003B44DE">
      <w:pPr>
        <w:spacing w:after="0" w:line="240" w:lineRule="auto"/>
        <w:jc w:val="both"/>
        <w:rPr>
          <w:rFonts w:ascii="Calibri" w:eastAsia="Times New Roman" w:hAnsi="Calibri" w:cs="Calibri"/>
          <w:color w:val="FF0000"/>
        </w:rPr>
      </w:pPr>
    </w:p>
    <w:p w14:paraId="3F122384" w14:textId="77777777" w:rsidR="003B44DE" w:rsidRPr="003B44DE" w:rsidRDefault="003B44DE" w:rsidP="003B44DE">
      <w:pPr>
        <w:spacing w:after="0" w:line="240" w:lineRule="auto"/>
        <w:jc w:val="both"/>
        <w:rPr>
          <w:rFonts w:ascii="Calibri" w:eastAsia="Times New Roman" w:hAnsi="Calibri" w:cs="Calibri"/>
          <w:color w:val="FF0000"/>
        </w:rPr>
      </w:pPr>
      <w:r w:rsidRPr="003B44DE">
        <w:rPr>
          <w:rFonts w:ascii="Calibri" w:eastAsia="Times New Roman" w:hAnsi="Calibri" w:cs="Calibri"/>
          <w:color w:val="FF0000"/>
        </w:rPr>
        <w:t> </w:t>
      </w:r>
    </w:p>
    <w:p w14:paraId="35E95DF7"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54C68C7E"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b/>
          <w:bCs/>
        </w:rPr>
        <w:t>Proposal submission:</w:t>
      </w:r>
    </w:p>
    <w:p w14:paraId="6008ADB7"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47FD2D8E" w14:textId="479F2D25"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All whitepapers must be submitted electronically and must be emailed directly to the Technical Points of Contact, Dr. Jenna Chan and Dr. Jonathan Hoffman (jenna.f.chan.</w:t>
      </w:r>
      <w:r w:rsidR="00674B04">
        <w:rPr>
          <w:rFonts w:ascii="Calibri" w:eastAsia="Times New Roman" w:hAnsi="Calibri" w:cs="Calibri"/>
        </w:rPr>
        <w:t>ctr</w:t>
      </w:r>
      <w:r w:rsidRPr="003B44DE">
        <w:rPr>
          <w:rFonts w:ascii="Calibri" w:eastAsia="Times New Roman" w:hAnsi="Calibri" w:cs="Calibri"/>
        </w:rPr>
        <w:t xml:space="preserve">@mail.mil, jonathan.e.hoffman.civ@mail.mil).  A whitepaper sent by any other means (e.g., hand-carried, postal service mail, commercial carrier, or fax) will not be considered.  Include the BAA number </w:t>
      </w:r>
      <w:r w:rsidRPr="00B85F6F">
        <w:rPr>
          <w:rFonts w:ascii="Calibri" w:eastAsia="Times New Roman" w:hAnsi="Calibri" w:cs="Calibri"/>
        </w:rPr>
        <w:t>W911NF-17-S-0003 and "LC CSAC"</w:t>
      </w:r>
      <w:r w:rsidRPr="003B44DE">
        <w:rPr>
          <w:rFonts w:ascii="Calibri" w:eastAsia="Times New Roman" w:hAnsi="Calibri" w:cs="Calibri"/>
        </w:rPr>
        <w:t xml:space="preserve"> in the email subject line. Whitepapers must be received at the government emails noted directly above no later than </w:t>
      </w:r>
      <w:r w:rsidR="00AD2C04">
        <w:rPr>
          <w:rFonts w:ascii="Calibri" w:eastAsia="Times New Roman" w:hAnsi="Calibri" w:cs="Calibri"/>
        </w:rPr>
        <w:t>Friday</w:t>
      </w:r>
      <w:r w:rsidRPr="00B85F6F">
        <w:rPr>
          <w:rFonts w:ascii="Calibri" w:eastAsia="Times New Roman" w:hAnsi="Calibri" w:cs="Calibri"/>
        </w:rPr>
        <w:t xml:space="preserve">, </w:t>
      </w:r>
      <w:r w:rsidR="00AD2C04">
        <w:rPr>
          <w:rFonts w:ascii="Calibri" w:eastAsia="Times New Roman" w:hAnsi="Calibri" w:cs="Calibri"/>
        </w:rPr>
        <w:t>29</w:t>
      </w:r>
      <w:r w:rsidR="00F91E80" w:rsidRPr="00B85F6F">
        <w:rPr>
          <w:rFonts w:ascii="Calibri" w:eastAsia="Times New Roman" w:hAnsi="Calibri" w:cs="Calibri"/>
        </w:rPr>
        <w:t xml:space="preserve"> </w:t>
      </w:r>
      <w:r w:rsidRPr="00B85F6F">
        <w:rPr>
          <w:rFonts w:ascii="Calibri" w:eastAsia="Times New Roman" w:hAnsi="Calibri" w:cs="Calibri"/>
        </w:rPr>
        <w:t xml:space="preserve">May 2020 </w:t>
      </w:r>
      <w:r w:rsidRPr="003B44DE">
        <w:rPr>
          <w:rFonts w:ascii="Calibri" w:eastAsia="Times New Roman" w:hAnsi="Calibri" w:cs="Calibri"/>
        </w:rPr>
        <w:t xml:space="preserve">at 11:59 PM (EDT). Offerors shall account for potential delays in file transfer from the originator’s computer server to the Government website/computer server and are encouraged to submit their response early to avoid potential file transfer delays due to high demand or problems encountered in the course of submission.  For this special notice, whitepapers are limited to ten (10) pages, which includes any references plus a cover page and a one-page addendum for biographical sketches for each of the key personnel. The cost portion of the whitepaper shall contain a brief cost estimate for all of the component parts of the whitepaper, including: research hours, indirect costs, material costs, travel, etc.  Whitepaper evaluations are expected to be complete </w:t>
      </w:r>
      <w:r w:rsidRPr="00B85F6F">
        <w:rPr>
          <w:rFonts w:ascii="Calibri" w:eastAsia="Times New Roman" w:hAnsi="Calibri" w:cs="Calibri"/>
        </w:rPr>
        <w:t xml:space="preserve">by </w:t>
      </w:r>
      <w:r w:rsidR="00F91E80" w:rsidRPr="00B85F6F">
        <w:rPr>
          <w:rFonts w:ascii="Calibri" w:eastAsia="Times New Roman" w:hAnsi="Calibri" w:cs="Calibri"/>
        </w:rPr>
        <w:t>early June</w:t>
      </w:r>
      <w:r w:rsidRPr="00B85F6F">
        <w:rPr>
          <w:rFonts w:ascii="Calibri" w:eastAsia="Times New Roman" w:hAnsi="Calibri" w:cs="Calibri"/>
        </w:rPr>
        <w:t xml:space="preserve"> 2020</w:t>
      </w:r>
      <w:r w:rsidRPr="003B44DE">
        <w:rPr>
          <w:rFonts w:ascii="Calibri" w:eastAsia="Times New Roman" w:hAnsi="Calibri" w:cs="Calibri"/>
        </w:rPr>
        <w:t>, and once complete</w:t>
      </w:r>
      <w:r w:rsidR="007E070F">
        <w:rPr>
          <w:rFonts w:ascii="Calibri" w:eastAsia="Times New Roman" w:hAnsi="Calibri" w:cs="Calibri"/>
        </w:rPr>
        <w:t>,</w:t>
      </w:r>
      <w:r w:rsidRPr="003B44DE">
        <w:rPr>
          <w:rFonts w:ascii="Calibri" w:eastAsia="Times New Roman" w:hAnsi="Calibri" w:cs="Calibri"/>
        </w:rPr>
        <w:t xml:space="preserve"> all offerors will be informed via email whether or not they will be invited to submit a full proposal based on their Whitepaper submission.  </w:t>
      </w:r>
    </w:p>
    <w:p w14:paraId="56C985E3"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0C22457C" w14:textId="5D740744"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lastRenderedPageBreak/>
        <w:t xml:space="preserve">Full proposal submissions must be submitted </w:t>
      </w:r>
      <w:r w:rsidR="00B85F6F">
        <w:rPr>
          <w:rFonts w:ascii="Calibri" w:eastAsia="Times New Roman" w:hAnsi="Calibri" w:cs="Calibri"/>
        </w:rPr>
        <w:t xml:space="preserve">against Grants.gov Opportunity Announcement </w:t>
      </w:r>
      <w:r w:rsidR="00FA7914">
        <w:t>W911NF-17-S-0003-SPECIAL</w:t>
      </w:r>
      <w:r w:rsidR="00B85F6F">
        <w:t xml:space="preserve">NOTICE-LC-CSAC </w:t>
      </w:r>
      <w:r w:rsidRPr="003B44DE">
        <w:rPr>
          <w:rFonts w:ascii="Calibri" w:eastAsia="Times New Roman" w:hAnsi="Calibri" w:cs="Calibri"/>
        </w:rPr>
        <w:t xml:space="preserve">in accordance with the preparation and submissions instructions under BAA </w:t>
      </w:r>
      <w:r w:rsidRPr="00B85F6F">
        <w:rPr>
          <w:rFonts w:ascii="Calibri" w:eastAsia="Times New Roman" w:hAnsi="Calibri" w:cs="Calibri"/>
        </w:rPr>
        <w:t xml:space="preserve">W911NF-17-S-0003, except as noted below. As a reminder, an offeror is not eligible to submit a proposal under the BAA for the </w:t>
      </w:r>
      <w:r w:rsidR="00AA4F12" w:rsidRPr="00B85F6F">
        <w:rPr>
          <w:rFonts w:ascii="Calibri" w:eastAsia="Times New Roman" w:hAnsi="Calibri" w:cs="Calibri"/>
        </w:rPr>
        <w:t xml:space="preserve">LC CSAC </w:t>
      </w:r>
      <w:r w:rsidRPr="00B85F6F">
        <w:rPr>
          <w:rFonts w:ascii="Calibri" w:eastAsia="Times New Roman" w:hAnsi="Calibri" w:cs="Calibri"/>
        </w:rPr>
        <w:t xml:space="preserve">unless their </w:t>
      </w:r>
      <w:r w:rsidR="00F91E80" w:rsidRPr="00B85F6F">
        <w:rPr>
          <w:rFonts w:ascii="Calibri" w:eastAsia="Times New Roman" w:hAnsi="Calibri" w:cs="Calibri"/>
        </w:rPr>
        <w:t xml:space="preserve">whitepaper </w:t>
      </w:r>
      <w:r w:rsidRPr="00B85F6F">
        <w:rPr>
          <w:rFonts w:ascii="Calibri" w:eastAsia="Times New Roman" w:hAnsi="Calibri" w:cs="Calibri"/>
        </w:rPr>
        <w:t xml:space="preserve">submission is timely, is highly rated, and the offeror is INVITED to submit a proposal.  Proposals shall be submitted electronically through the </w:t>
      </w:r>
      <w:hyperlink r:id="rId5" w:history="1">
        <w:r w:rsidRPr="00B85F6F">
          <w:rPr>
            <w:rFonts w:ascii="Calibri" w:eastAsia="Times New Roman" w:hAnsi="Calibri" w:cs="Calibri"/>
            <w:u w:val="single"/>
          </w:rPr>
          <w:t>www.grants.gov</w:t>
        </w:r>
      </w:hyperlink>
      <w:r w:rsidRPr="00B85F6F">
        <w:rPr>
          <w:rFonts w:ascii="Calibri" w:eastAsia="Times New Roman" w:hAnsi="Calibri" w:cs="Calibri"/>
        </w:rPr>
        <w:t xml:space="preserve"> portal.  </w:t>
      </w:r>
      <w:r w:rsidRPr="003B44DE">
        <w:rPr>
          <w:rFonts w:ascii="Calibri" w:eastAsia="Times New Roman" w:hAnsi="Calibri" w:cs="Calibri"/>
        </w:rPr>
        <w:t xml:space="preserve">A proposal sent by any other means (e.g., hand-carried, postal service mail, commercial carrier, fax or email) will not be considered.  INVITED proposals must be received no later than </w:t>
      </w:r>
      <w:r w:rsidR="00B85F6F" w:rsidRPr="00B85F6F">
        <w:rPr>
          <w:rFonts w:ascii="Calibri" w:eastAsia="Times New Roman" w:hAnsi="Calibri" w:cs="Calibri"/>
        </w:rPr>
        <w:t>Tuesday</w:t>
      </w:r>
      <w:r w:rsidRPr="00B85F6F">
        <w:rPr>
          <w:rFonts w:ascii="Calibri" w:eastAsia="Times New Roman" w:hAnsi="Calibri" w:cs="Calibri"/>
        </w:rPr>
        <w:t xml:space="preserve">, </w:t>
      </w:r>
      <w:r w:rsidR="00F91E80" w:rsidRPr="00B85F6F">
        <w:rPr>
          <w:rFonts w:ascii="Calibri" w:eastAsia="Times New Roman" w:hAnsi="Calibri" w:cs="Calibri"/>
        </w:rPr>
        <w:t xml:space="preserve">30 </w:t>
      </w:r>
      <w:r w:rsidRPr="00B85F6F">
        <w:rPr>
          <w:rFonts w:ascii="Calibri" w:eastAsia="Times New Roman" w:hAnsi="Calibri" w:cs="Calibri"/>
        </w:rPr>
        <w:t xml:space="preserve">June 2020 at 11:59 PM (EDT) to be considered for the LC CSAC.  The proposal content information is as specified under BAA W911NF-17-S-0003, except the technical proposal (project description) portion of the full proposal must not exceed thirty (30) pages. If the technical proposal exceeds 30 pages, only the first 30 pages will be reviewed and evaluated. As described in the BAA W911NF-17-S-0003, the proposal must </w:t>
      </w:r>
      <w:r w:rsidRPr="003B44DE">
        <w:rPr>
          <w:rFonts w:ascii="Calibri" w:eastAsia="Times New Roman" w:hAnsi="Calibri" w:cs="Calibri"/>
        </w:rPr>
        <w:t xml:space="preserve">also include a budget for each year of support requested. </w:t>
      </w:r>
      <w:r w:rsidR="00A87C78" w:rsidRPr="00942CDC">
        <w:t>In addition to the cost proposal, the Applicant must also include</w:t>
      </w:r>
      <w:r w:rsidR="00A87C78">
        <w:t xml:space="preserve"> </w:t>
      </w:r>
      <w:r w:rsidR="00A87C78" w:rsidRPr="00942CDC">
        <w:t>detailed information on the sources (by organization), timing, and amount</w:t>
      </w:r>
      <w:r w:rsidR="00A87C78">
        <w:t xml:space="preserve"> of proposed cost share</w:t>
      </w:r>
      <w:r w:rsidR="00A87C78" w:rsidRPr="00942CDC">
        <w:t xml:space="preserve">. This </w:t>
      </w:r>
      <w:r w:rsidR="00A87C78">
        <w:t>cost share plan must</w:t>
      </w:r>
      <w:r w:rsidR="00A87C78" w:rsidRPr="00942CDC">
        <w:t xml:space="preserve"> include the value, in dollars, for all in-kind cost</w:t>
      </w:r>
      <w:r w:rsidR="00A87C78">
        <w:t xml:space="preserve"> sharing</w:t>
      </w:r>
      <w:r w:rsidR="00A87C78" w:rsidRPr="00942CDC">
        <w:t>. This information must include a schedule of cost sharing that shows when the proposed cost share will be available and applied to the award</w:t>
      </w:r>
      <w:r w:rsidR="00A87C78">
        <w:t>, and how the cost share will be used in support of the proposed effort</w:t>
      </w:r>
      <w:r w:rsidR="00A87C78" w:rsidRPr="00942CDC">
        <w:t>.</w:t>
      </w:r>
      <w:r w:rsidR="00A87C78">
        <w:t xml:space="preserve">  </w:t>
      </w:r>
      <w:r w:rsidRPr="003B44DE">
        <w:rPr>
          <w:rFonts w:ascii="Calibri" w:eastAsia="Times New Roman" w:hAnsi="Calibri" w:cs="Calibri"/>
        </w:rPr>
        <w:t xml:space="preserve">Proposals will be evaluated using the criteria listed in </w:t>
      </w:r>
      <w:r w:rsidR="00D0163E">
        <w:rPr>
          <w:rFonts w:ascii="Calibri" w:eastAsia="Times New Roman" w:hAnsi="Calibri" w:cs="Calibri"/>
        </w:rPr>
        <w:t>this Special Notice</w:t>
      </w:r>
      <w:r w:rsidRPr="003B44DE">
        <w:rPr>
          <w:rFonts w:ascii="Calibri" w:eastAsia="Times New Roman" w:hAnsi="Calibri" w:cs="Calibri"/>
        </w:rPr>
        <w:t xml:space="preserve">.  Proposal evaluation is expected to be complete and any award selections made by </w:t>
      </w:r>
      <w:r w:rsidRPr="00B85F6F">
        <w:rPr>
          <w:rFonts w:ascii="Calibri" w:eastAsia="Times New Roman" w:hAnsi="Calibri" w:cs="Calibri"/>
        </w:rPr>
        <w:t xml:space="preserve">late July 2020.  </w:t>
      </w:r>
      <w:r w:rsidRPr="003B44DE">
        <w:rPr>
          <w:rFonts w:ascii="Calibri" w:eastAsia="Times New Roman" w:hAnsi="Calibri" w:cs="Calibri"/>
        </w:rPr>
        <w:t>An offeror whose proposal is selected for award will be contacted by a Contracting</w:t>
      </w:r>
      <w:r w:rsidR="00B85F6F">
        <w:rPr>
          <w:rFonts w:ascii="Calibri" w:eastAsia="Times New Roman" w:hAnsi="Calibri" w:cs="Calibri"/>
        </w:rPr>
        <w:t>/Grants</w:t>
      </w:r>
      <w:r w:rsidRPr="003B44DE">
        <w:rPr>
          <w:rFonts w:ascii="Calibri" w:eastAsia="Times New Roman" w:hAnsi="Calibri" w:cs="Calibri"/>
        </w:rPr>
        <w:t xml:space="preserve"> Specialist.</w:t>
      </w:r>
    </w:p>
    <w:p w14:paraId="19D06EBB"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6C34B6C0" w14:textId="43BCD5EF" w:rsidR="003B44DE" w:rsidRPr="00117C74" w:rsidRDefault="003B44DE" w:rsidP="00AB7052">
      <w:pPr>
        <w:autoSpaceDE w:val="0"/>
        <w:autoSpaceDN w:val="0"/>
        <w:adjustRightInd w:val="0"/>
        <w:spacing w:after="0" w:line="240" w:lineRule="auto"/>
        <w:rPr>
          <w:rFonts w:eastAsia="Times New Roman" w:cstheme="minorHAnsi"/>
        </w:rPr>
      </w:pPr>
      <w:r w:rsidRPr="00117C74">
        <w:rPr>
          <w:rFonts w:eastAsia="Times New Roman" w:cstheme="minorHAnsi"/>
        </w:rPr>
        <w:t xml:space="preserve">Clarifying questions regarding the intent or scope of this special notice may be submitted. Answers </w:t>
      </w:r>
      <w:r w:rsidR="00D0163E" w:rsidRPr="00117C74">
        <w:rPr>
          <w:rFonts w:eastAsia="Times New Roman" w:cstheme="minorHAnsi"/>
        </w:rPr>
        <w:t xml:space="preserve">to non-proprietary questions </w:t>
      </w:r>
      <w:r w:rsidRPr="00117C74">
        <w:rPr>
          <w:rFonts w:eastAsia="Times New Roman" w:cstheme="minorHAnsi"/>
        </w:rPr>
        <w:t xml:space="preserve">are expected to be posted online at </w:t>
      </w:r>
      <w:hyperlink r:id="rId6" w:history="1">
        <w:r w:rsidR="00810BB6">
          <w:rPr>
            <w:rStyle w:val="Hyperlink"/>
          </w:rPr>
          <w:t>https://www.arl.army.mil/lccsac/</w:t>
        </w:r>
      </w:hyperlink>
      <w:r w:rsidR="00810BB6">
        <w:rPr>
          <w:color w:val="1F497D"/>
        </w:rPr>
        <w:t xml:space="preserve"> </w:t>
      </w:r>
      <w:r w:rsidRPr="00117C74">
        <w:rPr>
          <w:rFonts w:eastAsia="Times New Roman" w:cstheme="minorHAnsi"/>
        </w:rPr>
        <w:t xml:space="preserve">within seven calendar days of receipt. All clarifying questions must be submitted to the website above before </w:t>
      </w:r>
      <w:r w:rsidR="00B07851" w:rsidRPr="00B85F6F">
        <w:rPr>
          <w:rFonts w:eastAsia="Times New Roman" w:cstheme="minorHAnsi"/>
        </w:rPr>
        <w:t xml:space="preserve">16 June </w:t>
      </w:r>
      <w:r w:rsidRPr="00B85F6F">
        <w:rPr>
          <w:rFonts w:eastAsia="Times New Roman" w:cstheme="minorHAnsi"/>
        </w:rPr>
        <w:t xml:space="preserve">2020 </w:t>
      </w:r>
      <w:r w:rsidRPr="00117C74">
        <w:rPr>
          <w:rFonts w:eastAsia="Times New Roman" w:cstheme="minorHAnsi"/>
        </w:rPr>
        <w:t xml:space="preserve">at 11:59 PM (EDT). </w:t>
      </w:r>
      <w:r w:rsidR="00AB7052" w:rsidRPr="00117C74">
        <w:rPr>
          <w:rFonts w:cstheme="minorHAnsi"/>
        </w:rPr>
        <w:t>Should an Applicant have questions they believe are of a proprietary</w:t>
      </w:r>
      <w:r w:rsidR="00117C74">
        <w:rPr>
          <w:rFonts w:cstheme="minorHAnsi"/>
        </w:rPr>
        <w:t xml:space="preserve"> </w:t>
      </w:r>
      <w:r w:rsidR="00AB7052" w:rsidRPr="00117C74">
        <w:rPr>
          <w:rFonts w:cstheme="minorHAnsi"/>
        </w:rPr>
        <w:t>nature, the Applicant must clearly state so and identify and mark the proprietary information</w:t>
      </w:r>
      <w:r w:rsidR="00117C74">
        <w:rPr>
          <w:rFonts w:cstheme="minorHAnsi"/>
        </w:rPr>
        <w:t xml:space="preserve"> </w:t>
      </w:r>
      <w:r w:rsidR="00AB7052" w:rsidRPr="00117C74">
        <w:rPr>
          <w:rFonts w:cstheme="minorHAnsi"/>
        </w:rPr>
        <w:t xml:space="preserve">in the question when </w:t>
      </w:r>
      <w:proofErr w:type="gramStart"/>
      <w:r w:rsidR="00AB7052" w:rsidRPr="00117C74">
        <w:rPr>
          <w:rFonts w:cstheme="minorHAnsi"/>
        </w:rPr>
        <w:t>submitted.</w:t>
      </w:r>
      <w:proofErr w:type="gramEnd"/>
      <w:r w:rsidR="00AB7052" w:rsidRPr="00117C74">
        <w:rPr>
          <w:rFonts w:cstheme="minorHAnsi"/>
        </w:rPr>
        <w:t xml:space="preserve"> Answers to questions of a proprietary nature will be provided</w:t>
      </w:r>
      <w:r w:rsidR="00117C74">
        <w:rPr>
          <w:rFonts w:cstheme="minorHAnsi"/>
        </w:rPr>
        <w:t xml:space="preserve"> </w:t>
      </w:r>
      <w:r w:rsidR="00AB7052" w:rsidRPr="00117C74">
        <w:rPr>
          <w:rFonts w:cstheme="minorHAnsi"/>
        </w:rPr>
        <w:t>via email directly to the requestor of the question and not posted on the SARA website</w:t>
      </w:r>
      <w:r w:rsidR="00FD5359" w:rsidRPr="00B85F6F">
        <w:rPr>
          <w:rFonts w:cstheme="minorHAnsi"/>
        </w:rPr>
        <w:t xml:space="preserve">.  </w:t>
      </w:r>
      <w:r w:rsidRPr="00B85F6F">
        <w:rPr>
          <w:rFonts w:eastAsia="Times New Roman" w:cstheme="minorHAnsi"/>
        </w:rPr>
        <w:t xml:space="preserve">Any </w:t>
      </w:r>
      <w:r w:rsidR="00FD5359" w:rsidRPr="00B85F6F">
        <w:rPr>
          <w:rFonts w:eastAsia="Times New Roman" w:cstheme="minorHAnsi"/>
        </w:rPr>
        <w:t xml:space="preserve">non-proprietary </w:t>
      </w:r>
      <w:r w:rsidRPr="00B85F6F">
        <w:rPr>
          <w:rFonts w:eastAsia="Times New Roman" w:cstheme="minorHAnsi"/>
        </w:rPr>
        <w:t xml:space="preserve">clarifying questions submitted outside of the website (e.g., submitted to an email address or by phone) will not be addressed.  </w:t>
      </w:r>
    </w:p>
    <w:p w14:paraId="3D53D425" w14:textId="77777777" w:rsidR="003B44DE" w:rsidRPr="003B44DE" w:rsidRDefault="003B44DE" w:rsidP="003B44DE">
      <w:pPr>
        <w:spacing w:after="0" w:line="240" w:lineRule="auto"/>
        <w:jc w:val="both"/>
        <w:rPr>
          <w:rFonts w:ascii="Calibri" w:eastAsia="Times New Roman" w:hAnsi="Calibri" w:cs="Calibri"/>
        </w:rPr>
      </w:pPr>
      <w:r w:rsidRPr="003B44DE">
        <w:rPr>
          <w:rFonts w:ascii="Calibri" w:eastAsia="Times New Roman" w:hAnsi="Calibri" w:cs="Calibri"/>
        </w:rPr>
        <w:t> </w:t>
      </w:r>
    </w:p>
    <w:p w14:paraId="53FE5499" w14:textId="77777777" w:rsidR="003B44DE" w:rsidRPr="003B44DE" w:rsidRDefault="003B44DE" w:rsidP="003B44DE">
      <w:pPr>
        <w:spacing w:after="0" w:line="240" w:lineRule="auto"/>
        <w:jc w:val="both"/>
        <w:rPr>
          <w:rFonts w:ascii="Calibri" w:eastAsia="Times New Roman" w:hAnsi="Calibri" w:cs="Calibri"/>
          <w:color w:val="FF0000"/>
        </w:rPr>
      </w:pPr>
      <w:r w:rsidRPr="003B44DE">
        <w:rPr>
          <w:rFonts w:ascii="Calibri" w:eastAsia="Times New Roman" w:hAnsi="Calibri" w:cs="Calibri"/>
          <w:color w:val="FF0000"/>
        </w:rPr>
        <w:t> </w:t>
      </w:r>
    </w:p>
    <w:p w14:paraId="5F006485" w14:textId="3B698BE8" w:rsidR="00581115" w:rsidRDefault="001A52D4" w:rsidP="003B44DE">
      <w:pPr>
        <w:jc w:val="both"/>
        <w:rPr>
          <w:rStyle w:val="Hyperlink"/>
        </w:rPr>
      </w:pPr>
      <w:r w:rsidRPr="00F91E80">
        <w:rPr>
          <w:vertAlign w:val="superscript"/>
        </w:rPr>
        <w:t>1</w:t>
      </w:r>
      <w:hyperlink r:id="rId7" w:history="1">
        <w:r>
          <w:rPr>
            <w:rStyle w:val="Hyperlink"/>
          </w:rPr>
          <w:t>https://www.dodmantech.com/ManTechPrograms/Files/Army/ArmySuccess_ChipScaleAtomicClock_02Feb15.pdf</w:t>
        </w:r>
      </w:hyperlink>
    </w:p>
    <w:p w14:paraId="3CE8BC7D" w14:textId="77777777" w:rsidR="003576DD" w:rsidRDefault="003576DD" w:rsidP="003B44DE">
      <w:pPr>
        <w:jc w:val="both"/>
        <w:rPr>
          <w:rStyle w:val="Hyperlink"/>
        </w:rPr>
      </w:pPr>
    </w:p>
    <w:p w14:paraId="0DDC3572" w14:textId="6CE91EC5" w:rsidR="003576DD" w:rsidRPr="00117C74" w:rsidRDefault="003576DD" w:rsidP="003B44DE">
      <w:pPr>
        <w:jc w:val="both"/>
        <w:rPr>
          <w:rStyle w:val="Hyperlink"/>
          <w:b/>
          <w:color w:val="auto"/>
          <w:u w:val="none"/>
        </w:rPr>
      </w:pPr>
      <w:r w:rsidRPr="00117C74">
        <w:rPr>
          <w:rStyle w:val="Hyperlink"/>
          <w:b/>
          <w:color w:val="auto"/>
          <w:u w:val="none"/>
        </w:rPr>
        <w:t>Point</w:t>
      </w:r>
      <w:r w:rsidR="00810BB6">
        <w:rPr>
          <w:rStyle w:val="Hyperlink"/>
          <w:b/>
          <w:color w:val="auto"/>
          <w:u w:val="none"/>
        </w:rPr>
        <w:t>s</w:t>
      </w:r>
      <w:r w:rsidRPr="00117C74">
        <w:rPr>
          <w:rStyle w:val="Hyperlink"/>
          <w:b/>
          <w:color w:val="auto"/>
          <w:u w:val="none"/>
        </w:rPr>
        <w:t xml:space="preserve"> of Contact:</w:t>
      </w:r>
    </w:p>
    <w:p w14:paraId="3C4AFFAB" w14:textId="243F207C" w:rsidR="003576DD" w:rsidRPr="00117C74" w:rsidRDefault="003576DD" w:rsidP="003B44DE">
      <w:pPr>
        <w:jc w:val="both"/>
        <w:rPr>
          <w:rStyle w:val="Hyperlink"/>
          <w:color w:val="auto"/>
          <w:u w:val="none"/>
        </w:rPr>
      </w:pPr>
      <w:r w:rsidRPr="00117C74">
        <w:rPr>
          <w:rStyle w:val="Hyperlink"/>
          <w:color w:val="auto"/>
          <w:u w:val="none"/>
        </w:rPr>
        <w:t>Jonathan Hoffman</w:t>
      </w:r>
    </w:p>
    <w:p w14:paraId="24CDF4F6" w14:textId="55EBB962" w:rsidR="003576DD" w:rsidRDefault="00674B04" w:rsidP="003B44DE">
      <w:pPr>
        <w:jc w:val="both"/>
      </w:pPr>
      <w:hyperlink r:id="rId8" w:history="1">
        <w:r w:rsidR="00810BB6" w:rsidRPr="00D602A8">
          <w:rPr>
            <w:rStyle w:val="Hyperlink"/>
          </w:rPr>
          <w:t>jonathan.e.hoffman.civ@mail.mil</w:t>
        </w:r>
      </w:hyperlink>
    </w:p>
    <w:p w14:paraId="467879B2" w14:textId="4F33BFDD" w:rsidR="00810BB6" w:rsidRDefault="00810BB6" w:rsidP="003B44DE">
      <w:pPr>
        <w:jc w:val="both"/>
      </w:pPr>
    </w:p>
    <w:p w14:paraId="0F546445" w14:textId="11949FB0" w:rsidR="00810BB6" w:rsidRDefault="00810BB6" w:rsidP="003B44DE">
      <w:pPr>
        <w:jc w:val="both"/>
      </w:pPr>
      <w:r>
        <w:t>Jenna Chan</w:t>
      </w:r>
    </w:p>
    <w:p w14:paraId="0DBECAE1" w14:textId="2A365739" w:rsidR="00810BB6" w:rsidRPr="00117C74" w:rsidRDefault="00674B04" w:rsidP="003B44DE">
      <w:pPr>
        <w:jc w:val="both"/>
      </w:pPr>
      <w:hyperlink r:id="rId9" w:history="1">
        <w:r w:rsidRPr="00102E71">
          <w:rPr>
            <w:rStyle w:val="Hyperlink"/>
          </w:rPr>
          <w:t>Jenna.f.chan.ctr@mail.mil</w:t>
        </w:r>
      </w:hyperlink>
      <w:r w:rsidR="00810BB6">
        <w:t xml:space="preserve"> </w:t>
      </w:r>
    </w:p>
    <w:sectPr w:rsidR="00810BB6" w:rsidRPr="00117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6470B"/>
    <w:multiLevelType w:val="multilevel"/>
    <w:tmpl w:val="66EE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E3FFE"/>
    <w:multiLevelType w:val="multilevel"/>
    <w:tmpl w:val="5596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D2707"/>
    <w:multiLevelType w:val="multilevel"/>
    <w:tmpl w:val="FB04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A347F"/>
    <w:multiLevelType w:val="multilevel"/>
    <w:tmpl w:val="3C48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0A38C2"/>
    <w:multiLevelType w:val="multilevel"/>
    <w:tmpl w:val="6034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894A61"/>
    <w:multiLevelType w:val="multilevel"/>
    <w:tmpl w:val="3A78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9A64E4"/>
    <w:multiLevelType w:val="multilevel"/>
    <w:tmpl w:val="720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E241AF"/>
    <w:multiLevelType w:val="multilevel"/>
    <w:tmpl w:val="32E29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B8336B"/>
    <w:multiLevelType w:val="multilevel"/>
    <w:tmpl w:val="7A881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E0233"/>
    <w:multiLevelType w:val="multilevel"/>
    <w:tmpl w:val="0A9E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F60C3D"/>
    <w:multiLevelType w:val="multilevel"/>
    <w:tmpl w:val="5270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6"/>
  </w:num>
  <w:num w:numId="4">
    <w:abstractNumId w:val="8"/>
  </w:num>
  <w:num w:numId="5">
    <w:abstractNumId w:val="1"/>
    <w:lvlOverride w:ilvl="0">
      <w:startOverride w:val="1"/>
    </w:lvlOverride>
  </w:num>
  <w:num w:numId="6">
    <w:abstractNumId w:val="5"/>
    <w:lvlOverride w:ilvl="0">
      <w:startOverride w:val="2"/>
    </w:lvlOverride>
  </w:num>
  <w:num w:numId="7">
    <w:abstractNumId w:val="3"/>
    <w:lvlOverride w:ilvl="0">
      <w:startOverride w:val="3"/>
    </w:lvlOverride>
  </w:num>
  <w:num w:numId="8">
    <w:abstractNumId w:val="4"/>
    <w:lvlOverride w:ilvl="0">
      <w:startOverride w:val="4"/>
    </w:lvlOverride>
  </w:num>
  <w:num w:numId="9">
    <w:abstractNumId w:val="7"/>
    <w:lvlOverride w:ilvl="0">
      <w:startOverride w:val="5"/>
    </w:lvlOverride>
  </w:num>
  <w:num w:numId="10">
    <w:abstractNumId w:val="0"/>
    <w:lvlOverride w:ilvl="0">
      <w:startOverride w:val="6"/>
    </w:lvlOverride>
  </w:num>
  <w:num w:numId="11">
    <w:abstractNumId w:val="1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DE"/>
    <w:rsid w:val="000143D8"/>
    <w:rsid w:val="00024780"/>
    <w:rsid w:val="000E7399"/>
    <w:rsid w:val="00117C74"/>
    <w:rsid w:val="00136DEE"/>
    <w:rsid w:val="001A52D4"/>
    <w:rsid w:val="001E7D00"/>
    <w:rsid w:val="00206955"/>
    <w:rsid w:val="00235CD8"/>
    <w:rsid w:val="00251A2F"/>
    <w:rsid w:val="00257FE2"/>
    <w:rsid w:val="00336AD6"/>
    <w:rsid w:val="003576DD"/>
    <w:rsid w:val="00375577"/>
    <w:rsid w:val="00381E6C"/>
    <w:rsid w:val="003B44DE"/>
    <w:rsid w:val="003D0B0F"/>
    <w:rsid w:val="004B1707"/>
    <w:rsid w:val="00581115"/>
    <w:rsid w:val="0058632C"/>
    <w:rsid w:val="00674B04"/>
    <w:rsid w:val="00693F99"/>
    <w:rsid w:val="00696CEE"/>
    <w:rsid w:val="00697DBD"/>
    <w:rsid w:val="007166FF"/>
    <w:rsid w:val="007E070F"/>
    <w:rsid w:val="00810BB6"/>
    <w:rsid w:val="00815913"/>
    <w:rsid w:val="00846060"/>
    <w:rsid w:val="008643D7"/>
    <w:rsid w:val="00982737"/>
    <w:rsid w:val="009C2F64"/>
    <w:rsid w:val="00A231B7"/>
    <w:rsid w:val="00A52951"/>
    <w:rsid w:val="00A87C78"/>
    <w:rsid w:val="00AA28AF"/>
    <w:rsid w:val="00AA4F12"/>
    <w:rsid w:val="00AB7052"/>
    <w:rsid w:val="00AD2C04"/>
    <w:rsid w:val="00B07851"/>
    <w:rsid w:val="00B63086"/>
    <w:rsid w:val="00B65B17"/>
    <w:rsid w:val="00B85F6F"/>
    <w:rsid w:val="00BC52CA"/>
    <w:rsid w:val="00BD5486"/>
    <w:rsid w:val="00D0163E"/>
    <w:rsid w:val="00D028DA"/>
    <w:rsid w:val="00D21E43"/>
    <w:rsid w:val="00F36AE6"/>
    <w:rsid w:val="00F91E80"/>
    <w:rsid w:val="00FA7914"/>
    <w:rsid w:val="00FD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A5CB"/>
  <w15:chartTrackingRefBased/>
  <w15:docId w15:val="{BE850A62-C06C-4858-B068-2E170C8D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4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44DE"/>
    <w:rPr>
      <w:color w:val="0000FF"/>
      <w:u w:val="single"/>
    </w:rPr>
  </w:style>
  <w:style w:type="character" w:styleId="CommentReference">
    <w:name w:val="annotation reference"/>
    <w:basedOn w:val="DefaultParagraphFont"/>
    <w:uiPriority w:val="99"/>
    <w:semiHidden/>
    <w:unhideWhenUsed/>
    <w:rsid w:val="00381E6C"/>
    <w:rPr>
      <w:sz w:val="16"/>
      <w:szCs w:val="16"/>
    </w:rPr>
  </w:style>
  <w:style w:type="paragraph" w:styleId="CommentText">
    <w:name w:val="annotation text"/>
    <w:basedOn w:val="Normal"/>
    <w:link w:val="CommentTextChar"/>
    <w:uiPriority w:val="99"/>
    <w:semiHidden/>
    <w:unhideWhenUsed/>
    <w:rsid w:val="00381E6C"/>
    <w:pPr>
      <w:spacing w:line="240" w:lineRule="auto"/>
    </w:pPr>
    <w:rPr>
      <w:sz w:val="20"/>
      <w:szCs w:val="20"/>
    </w:rPr>
  </w:style>
  <w:style w:type="character" w:customStyle="1" w:styleId="CommentTextChar">
    <w:name w:val="Comment Text Char"/>
    <w:basedOn w:val="DefaultParagraphFont"/>
    <w:link w:val="CommentText"/>
    <w:uiPriority w:val="99"/>
    <w:semiHidden/>
    <w:rsid w:val="00381E6C"/>
    <w:rPr>
      <w:sz w:val="20"/>
      <w:szCs w:val="20"/>
    </w:rPr>
  </w:style>
  <w:style w:type="paragraph" w:styleId="CommentSubject">
    <w:name w:val="annotation subject"/>
    <w:basedOn w:val="CommentText"/>
    <w:next w:val="CommentText"/>
    <w:link w:val="CommentSubjectChar"/>
    <w:uiPriority w:val="99"/>
    <w:semiHidden/>
    <w:unhideWhenUsed/>
    <w:rsid w:val="00381E6C"/>
    <w:rPr>
      <w:b/>
      <w:bCs/>
    </w:rPr>
  </w:style>
  <w:style w:type="character" w:customStyle="1" w:styleId="CommentSubjectChar">
    <w:name w:val="Comment Subject Char"/>
    <w:basedOn w:val="CommentTextChar"/>
    <w:link w:val="CommentSubject"/>
    <w:uiPriority w:val="99"/>
    <w:semiHidden/>
    <w:rsid w:val="00381E6C"/>
    <w:rPr>
      <w:b/>
      <w:bCs/>
      <w:sz w:val="20"/>
      <w:szCs w:val="20"/>
    </w:rPr>
  </w:style>
  <w:style w:type="paragraph" w:styleId="BalloonText">
    <w:name w:val="Balloon Text"/>
    <w:basedOn w:val="Normal"/>
    <w:link w:val="BalloonTextChar"/>
    <w:uiPriority w:val="99"/>
    <w:semiHidden/>
    <w:unhideWhenUsed/>
    <w:rsid w:val="00381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6C"/>
    <w:rPr>
      <w:rFonts w:ascii="Segoe UI" w:hAnsi="Segoe UI" w:cs="Segoe UI"/>
      <w:sz w:val="18"/>
      <w:szCs w:val="18"/>
    </w:rPr>
  </w:style>
  <w:style w:type="character" w:styleId="FollowedHyperlink">
    <w:name w:val="FollowedHyperlink"/>
    <w:basedOn w:val="DefaultParagraphFont"/>
    <w:uiPriority w:val="99"/>
    <w:semiHidden/>
    <w:unhideWhenUsed/>
    <w:rsid w:val="001E7D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14644">
      <w:bodyDiv w:val="1"/>
      <w:marLeft w:val="0"/>
      <w:marRight w:val="0"/>
      <w:marTop w:val="0"/>
      <w:marBottom w:val="0"/>
      <w:divBdr>
        <w:top w:val="none" w:sz="0" w:space="0" w:color="auto"/>
        <w:left w:val="none" w:sz="0" w:space="0" w:color="auto"/>
        <w:bottom w:val="none" w:sz="0" w:space="0" w:color="auto"/>
        <w:right w:val="none" w:sz="0" w:space="0" w:color="auto"/>
      </w:divBdr>
      <w:divsChild>
        <w:div w:id="882254370">
          <w:marLeft w:val="0"/>
          <w:marRight w:val="0"/>
          <w:marTop w:val="0"/>
          <w:marBottom w:val="0"/>
          <w:divBdr>
            <w:top w:val="none" w:sz="0" w:space="0" w:color="auto"/>
            <w:left w:val="none" w:sz="0" w:space="0" w:color="auto"/>
            <w:bottom w:val="none" w:sz="0" w:space="0" w:color="auto"/>
            <w:right w:val="none" w:sz="0" w:space="0" w:color="auto"/>
          </w:divBdr>
          <w:divsChild>
            <w:div w:id="974331681">
              <w:marLeft w:val="0"/>
              <w:marRight w:val="0"/>
              <w:marTop w:val="0"/>
              <w:marBottom w:val="0"/>
              <w:divBdr>
                <w:top w:val="none" w:sz="0" w:space="0" w:color="auto"/>
                <w:left w:val="none" w:sz="0" w:space="0" w:color="auto"/>
                <w:bottom w:val="none" w:sz="0" w:space="0" w:color="auto"/>
                <w:right w:val="none" w:sz="0" w:space="0" w:color="auto"/>
              </w:divBdr>
              <w:divsChild>
                <w:div w:id="1782844118">
                  <w:marLeft w:val="0"/>
                  <w:marRight w:val="0"/>
                  <w:marTop w:val="0"/>
                  <w:marBottom w:val="0"/>
                  <w:divBdr>
                    <w:top w:val="none" w:sz="0" w:space="0" w:color="auto"/>
                    <w:left w:val="none" w:sz="0" w:space="0" w:color="auto"/>
                    <w:bottom w:val="none" w:sz="0" w:space="0" w:color="auto"/>
                    <w:right w:val="none" w:sz="0" w:space="0" w:color="auto"/>
                  </w:divBdr>
                  <w:divsChild>
                    <w:div w:id="15872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e.hoffman.civ@mail.mil" TargetMode="External"/><Relationship Id="rId3" Type="http://schemas.openxmlformats.org/officeDocument/2006/relationships/settings" Target="settings.xml"/><Relationship Id="rId7" Type="http://schemas.openxmlformats.org/officeDocument/2006/relationships/hyperlink" Target="https://www.dodmantech.com/ManTechPrograms/Files/Army/ArmySuccess_ChipScaleAtomicClock_02Feb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army.mil/lccsac/" TargetMode="External"/><Relationship Id="rId11" Type="http://schemas.openxmlformats.org/officeDocument/2006/relationships/theme" Target="theme/theme1.xml"/><Relationship Id="rId5" Type="http://schemas.openxmlformats.org/officeDocument/2006/relationships/hyperlink" Target="http://www.grant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nna.f.chan.ctr@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ARL</Company>
  <LinksUpToDate>false</LinksUpToDate>
  <CharactersWithSpaces>14052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Jenna F. (CTR)</dc:creator>
  <cp:keywords/>
  <dc:description/>
  <cp:lastModifiedBy>Justice, Christopher D (CIV)</cp:lastModifiedBy>
  <cp:revision>2</cp:revision>
  <dcterms:created xsi:type="dcterms:W3CDTF">2020-05-28T12:50:00Z</dcterms:created>
  <dcterms:modified xsi:type="dcterms:W3CDTF">2020-05-28T12:50:00Z</dcterms:modified>
</cp:coreProperties>
</file>