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759302E8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FC2FE5">
        <w:rPr>
          <w:rFonts w:ascii="Times New Roman" w:hAnsi="Times New Roman" w:cs="Times New Roman"/>
          <w:b/>
          <w:bCs/>
          <w:color w:val="C00000"/>
          <w:sz w:val="24"/>
          <w:szCs w:val="24"/>
        </w:rPr>
        <w:t>AmmanGrants@state.gov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25A4BD17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 xml:space="preserve">(Attachment </w:t>
      </w:r>
      <w:r w:rsidR="00FC2FE5">
        <w:rPr>
          <w:rFonts w:ascii="Times New Roman" w:eastAsia="Tahoma" w:hAnsi="Times New Roman" w:cs="Times New Roman"/>
          <w:b/>
          <w:color w:val="C00000"/>
          <w:sz w:val="24"/>
          <w:szCs w:val="24"/>
        </w:rPr>
        <w:t>3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B620E2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B620E2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B620E2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F6C8" w14:textId="77777777" w:rsidR="00B620E2" w:rsidRDefault="00B620E2" w:rsidP="00541E22">
      <w:pPr>
        <w:spacing w:after="0" w:line="240" w:lineRule="auto"/>
      </w:pPr>
      <w:r>
        <w:separator/>
      </w:r>
    </w:p>
  </w:endnote>
  <w:endnote w:type="continuationSeparator" w:id="0">
    <w:p w14:paraId="7AD0E74B" w14:textId="77777777" w:rsidR="00B620E2" w:rsidRDefault="00B620E2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09B3" w14:textId="77777777" w:rsidR="00B620E2" w:rsidRDefault="00B620E2" w:rsidP="00541E22">
      <w:pPr>
        <w:spacing w:after="0" w:line="240" w:lineRule="auto"/>
      </w:pPr>
      <w:r>
        <w:separator/>
      </w:r>
    </w:p>
  </w:footnote>
  <w:footnote w:type="continuationSeparator" w:id="0">
    <w:p w14:paraId="4C4397F0" w14:textId="77777777" w:rsidR="00B620E2" w:rsidRDefault="00B620E2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12A08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20E2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C2FE5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d0f6ff-bc34-4a35-83bc-7cab81ddb2db">
      <UserInfo>
        <DisplayName>Yawari, Reza</DisplayName>
        <AccountId>17236</AccountId>
        <AccountType/>
      </UserInfo>
    </SharedWithUsers>
    <TaxCatchAll xmlns="42d0f6ff-bc34-4a35-83bc-7cab81ddb2db" xsi:nil="true"/>
    <lcf76f155ced4ddcb4097134ff3c332f xmlns="3d102d7b-7f4d-4d67-8844-4ca5011b87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52655EFE87B4CA4F98F958E12AA59" ma:contentTypeVersion="18" ma:contentTypeDescription="Create a new document." ma:contentTypeScope="" ma:versionID="4769dbb35d1e1bc0ff486e2f21d157dc">
  <xsd:schema xmlns:xsd="http://www.w3.org/2001/XMLSchema" xmlns:xs="http://www.w3.org/2001/XMLSchema" xmlns:p="http://schemas.microsoft.com/office/2006/metadata/properties" xmlns:ns2="3d102d7b-7f4d-4d67-8844-4ca5011b876c" xmlns:ns3="42d0f6ff-bc34-4a35-83bc-7cab81ddb2db" targetNamespace="http://schemas.microsoft.com/office/2006/metadata/properties" ma:root="true" ma:fieldsID="bcd1f8da6722c5f79da6809851c2da71" ns2:_="" ns3:_="">
    <xsd:import namespace="3d102d7b-7f4d-4d67-8844-4ca5011b876c"/>
    <xsd:import namespace="42d0f6ff-bc34-4a35-83bc-7cab81ddb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02d7b-7f4d-4d67-8844-4ca5011b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0f6ff-bc34-4a35-83bc-7cab81ddb2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37366e-972c-4448-8759-e35e693c6716}" ma:internalName="TaxCatchAll" ma:showField="CatchAllData" ma:web="42d0f6ff-bc34-4a35-83bc-7cab81dd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42d0f6ff-bc34-4a35-83bc-7cab81ddb2db"/>
    <ds:schemaRef ds:uri="3d102d7b-7f4d-4d67-8844-4ca5011b876c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5602A-B425-41CE-8B50-D5802FC3A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02d7b-7f4d-4d67-8844-4ca5011b876c"/>
    <ds:schemaRef ds:uri="42d0f6ff-bc34-4a35-83bc-7cab81ddb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1421</Words>
  <Characters>8102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Alnoubani, Noor A (Amman)</cp:lastModifiedBy>
  <cp:revision>7</cp:revision>
  <cp:lastPrinted>2015-07-23T07:20:00Z</cp:lastPrinted>
  <dcterms:created xsi:type="dcterms:W3CDTF">2026-02-23T13:34:00Z</dcterms:created>
  <dcterms:modified xsi:type="dcterms:W3CDTF">2026-06-14T10:37:00Z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0x01010026C52655EFE87B4CA4F98F958E12AA59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